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rPr>
          <w:rFonts w:hint="eastAsia" w:ascii="黑体" w:hAnsi="黑体" w:eastAsia="黑体" w:cs="黑体"/>
          <w:color w:val="000000"/>
          <w:kern w:val="0"/>
          <w:sz w:val="32"/>
          <w:szCs w:val="32"/>
          <w:shd w:val="clear" w:color="auto" w:fill="FFFFFF"/>
          <w:lang w:bidi="ar"/>
        </w:rPr>
      </w:pPr>
      <w:r>
        <w:rPr>
          <w:rFonts w:hint="eastAsia" w:ascii="黑体" w:hAnsi="黑体" w:eastAsia="黑体" w:cs="黑体"/>
          <w:color w:val="000000"/>
          <w:kern w:val="0"/>
          <w:sz w:val="32"/>
          <w:szCs w:val="32"/>
          <w:shd w:val="clear" w:color="auto" w:fill="FFFFFF"/>
          <w:lang w:bidi="ar"/>
        </w:rPr>
        <w:t>附件2</w:t>
      </w:r>
    </w:p>
    <w:p>
      <w:pPr>
        <w:pStyle w:val="2"/>
      </w:pPr>
    </w:p>
    <w:p>
      <w:pPr>
        <w:tabs>
          <w:tab w:val="left" w:pos="0"/>
        </w:tabs>
        <w:spacing w:line="510" w:lineRule="exact"/>
        <w:jc w:val="center"/>
        <w:rPr>
          <w:rFonts w:hint="eastAsia" w:ascii="Times New Roman" w:hAnsi="Times New Roman" w:eastAsia="方正小标宋简体"/>
          <w:snapToGrid w:val="0"/>
          <w:spacing w:val="-7"/>
          <w:kern w:val="0"/>
          <w:sz w:val="44"/>
          <w:szCs w:val="44"/>
          <w:lang w:eastAsia="en-US"/>
        </w:rPr>
      </w:pPr>
      <w:r>
        <w:rPr>
          <w:rFonts w:hint="eastAsia" w:ascii="Times New Roman" w:hAnsi="Times New Roman" w:eastAsia="方正小标宋简体"/>
          <w:snapToGrid w:val="0"/>
          <w:spacing w:val="-7"/>
          <w:kern w:val="0"/>
          <w:sz w:val="44"/>
          <w:szCs w:val="44"/>
          <w:lang w:eastAsia="en-US"/>
        </w:rPr>
        <w:t>《三亚市考古前置操作规程》（征求意见稿）</w:t>
      </w:r>
    </w:p>
    <w:p>
      <w:pPr>
        <w:tabs>
          <w:tab w:val="left" w:pos="0"/>
        </w:tabs>
        <w:spacing w:line="51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起草说明</w:t>
      </w:r>
    </w:p>
    <w:p>
      <w:pPr>
        <w:pStyle w:val="2"/>
        <w:rPr>
          <w:rFonts w:ascii="仿宋_GB2312" w:cs="仿宋_GB2312"/>
          <w:szCs w:val="32"/>
          <w:lang w:bidi="ar"/>
        </w:rPr>
      </w:pPr>
    </w:p>
    <w:p>
      <w:pPr>
        <w:spacing w:line="578" w:lineRule="exact"/>
        <w:ind w:firstLine="640" w:firstLineChars="200"/>
        <w:rPr>
          <w:rFonts w:ascii="Times New Roman" w:hAnsi="Times New Roman" w:eastAsia="仿宋_GB2312"/>
          <w:color w:val="000000"/>
          <w:kern w:val="0"/>
          <w:sz w:val="32"/>
          <w:szCs w:val="32"/>
          <w:shd w:val="clear" w:color="auto" w:fill="FFFFFF"/>
          <w:lang w:bidi="ar"/>
        </w:rPr>
      </w:pPr>
      <w:r>
        <w:rPr>
          <w:rFonts w:ascii="仿宋_GB2312" w:hAnsi="Times New Roman" w:eastAsia="仿宋_GB2312" w:cs="仿宋_GB2312"/>
          <w:sz w:val="32"/>
          <w:szCs w:val="32"/>
          <w:lang w:bidi="ar"/>
        </w:rPr>
        <w:t>为进一步</w:t>
      </w:r>
      <w:r>
        <w:rPr>
          <w:rFonts w:hint="eastAsia" w:ascii="仿宋_GB2312" w:hAnsi="Times New Roman" w:eastAsia="仿宋_GB2312" w:cs="仿宋_GB2312"/>
          <w:sz w:val="32"/>
          <w:szCs w:val="32"/>
          <w:lang w:bidi="ar"/>
        </w:rPr>
        <w:t>贯彻落实</w:t>
      </w:r>
      <w:r>
        <w:rPr>
          <w:rFonts w:ascii="仿宋_GB2312" w:hAnsi="Times New Roman" w:eastAsia="仿宋_GB2312" w:cs="仿宋_GB2312"/>
          <w:sz w:val="32"/>
          <w:szCs w:val="32"/>
          <w:lang w:bidi="ar"/>
        </w:rPr>
        <w:t>我市</w:t>
      </w:r>
      <w:r>
        <w:rPr>
          <w:rFonts w:hint="eastAsia" w:ascii="仿宋_GB2312" w:hAnsi="Times New Roman" w:eastAsia="仿宋_GB2312" w:cs="仿宋_GB2312"/>
          <w:sz w:val="32"/>
          <w:szCs w:val="32"/>
          <w:lang w:bidi="ar"/>
        </w:rPr>
        <w:t>“考古前置”制度</w:t>
      </w:r>
      <w:r>
        <w:rPr>
          <w:rFonts w:ascii="仿宋_GB2312" w:hAnsi="Times New Roman" w:eastAsia="仿宋_GB2312" w:cs="仿宋_GB2312"/>
          <w:sz w:val="32"/>
          <w:szCs w:val="32"/>
          <w:lang w:bidi="ar"/>
        </w:rPr>
        <w:t>，推动文物保护与三亚经济社会高质量协调发展</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我局根据《中华人民共和国文物保护法》《中华人民共和国土地管理法》《海南省文物保护条例》《海南自由贸易港土地管理条例》《海南省土地储备管理办法》等法律法规，结合本市实际，编制了《</w:t>
      </w:r>
      <w:r>
        <w:rPr>
          <w:rFonts w:hint="eastAsia" w:ascii="仿宋_GB2312" w:hAnsi="Times New Roman" w:eastAsia="仿宋_GB2312" w:cs="仿宋_GB2312"/>
          <w:sz w:val="32"/>
          <w:szCs w:val="32"/>
          <w:lang w:bidi="ar"/>
        </w:rPr>
        <w:t>三亚市考古前置操作规程</w:t>
      </w:r>
      <w:r>
        <w:rPr>
          <w:rFonts w:ascii="仿宋_GB2312" w:hAnsi="Times New Roman" w:eastAsia="仿宋_GB2312" w:cs="仿宋_GB2312"/>
          <w:sz w:val="32"/>
          <w:szCs w:val="32"/>
          <w:lang w:bidi="ar"/>
        </w:rPr>
        <w:t>》（征求意见稿）。</w:t>
      </w:r>
      <w:r>
        <w:rPr>
          <w:rFonts w:hint="eastAsia" w:ascii="仿宋_GB2312" w:hAnsi="Times New Roman" w:eastAsia="仿宋_GB2312" w:cs="仿宋_GB2312"/>
          <w:sz w:val="32"/>
          <w:szCs w:val="32"/>
          <w:lang w:bidi="ar"/>
        </w:rPr>
        <w:t>现将有关起草情况说明如下</w:t>
      </w:r>
      <w:r>
        <w:rPr>
          <w:rFonts w:hint="eastAsia" w:ascii="Times New Roman" w:hAnsi="Times New Roman" w:eastAsia="仿宋_GB2312"/>
          <w:color w:val="000000"/>
          <w:kern w:val="0"/>
          <w:sz w:val="32"/>
          <w:szCs w:val="32"/>
          <w:shd w:val="clear" w:color="auto" w:fill="FFFFFF"/>
          <w:lang w:bidi="ar"/>
        </w:rPr>
        <w:t>：</w:t>
      </w:r>
    </w:p>
    <w:p>
      <w:pPr>
        <w:spacing w:line="578" w:lineRule="exact"/>
        <w:ind w:firstLine="640" w:firstLineChars="200"/>
        <w:rPr>
          <w:shd w:val="clear" w:color="auto" w:fill="FFFFFF"/>
          <w:lang w:bidi="ar"/>
        </w:rPr>
      </w:pPr>
      <w:r>
        <w:rPr>
          <w:rFonts w:hint="eastAsia" w:ascii="黑体" w:hAnsi="黑体" w:eastAsia="黑体"/>
          <w:sz w:val="32"/>
          <w:shd w:val="clear" w:color="auto" w:fill="FFFFFF"/>
          <w:lang w:bidi="ar"/>
        </w:rPr>
        <w:t>一、起草的背景、原因</w:t>
      </w:r>
    </w:p>
    <w:p>
      <w:pPr>
        <w:spacing w:line="578" w:lineRule="exact"/>
        <w:ind w:firstLine="640" w:firstLineChars="200"/>
        <w:rPr>
          <w:lang w:bidi="ar"/>
        </w:rPr>
      </w:pPr>
      <w:r>
        <w:rPr>
          <w:rFonts w:hint="eastAsia" w:ascii="仿宋_GB2312" w:eastAsia="仿宋_GB2312"/>
          <w:sz w:val="32"/>
          <w:lang w:bidi="ar"/>
        </w:rPr>
        <w:t>考古调查、</w:t>
      </w:r>
      <w:r>
        <w:rPr>
          <w:rFonts w:hint="eastAsia" w:ascii="仿宋_GB2312" w:hAnsi="宋体" w:eastAsia="仿宋_GB2312" w:cs="宋体"/>
          <w:sz w:val="32"/>
          <w:lang w:bidi="ar"/>
        </w:rPr>
        <w:t>勘探</w:t>
      </w:r>
      <w:r>
        <w:rPr>
          <w:rFonts w:hint="eastAsia" w:ascii="仿宋_GB2312" w:hAnsi="___WRD_EMBED_SUB_45" w:eastAsia="仿宋_GB2312" w:cs="___WRD_EMBED_SUB_45"/>
          <w:sz w:val="32"/>
          <w:lang w:bidi="ar"/>
        </w:rPr>
        <w:t>、发</w:t>
      </w:r>
      <w:r>
        <w:rPr>
          <w:rFonts w:hint="eastAsia" w:ascii="仿宋_GB2312" w:hAnsi="宋体" w:eastAsia="仿宋_GB2312" w:cs="宋体"/>
          <w:sz w:val="32"/>
          <w:lang w:bidi="ar"/>
        </w:rPr>
        <w:t>掘</w:t>
      </w:r>
      <w:r>
        <w:rPr>
          <w:rFonts w:hint="eastAsia" w:ascii="仿宋_GB2312" w:hAnsi="___WRD_EMBED_SUB_45" w:eastAsia="仿宋_GB2312" w:cs="___WRD_EMBED_SUB_45"/>
          <w:sz w:val="32"/>
          <w:lang w:bidi="ar"/>
        </w:rPr>
        <w:t>是</w:t>
      </w:r>
      <w:r>
        <w:rPr>
          <w:rFonts w:hint="eastAsia" w:ascii="仿宋_GB2312" w:hAnsi="宋体" w:eastAsia="仿宋_GB2312" w:cs="宋体"/>
          <w:sz w:val="32"/>
          <w:lang w:bidi="ar"/>
        </w:rPr>
        <w:t>做好</w:t>
      </w:r>
      <w:r>
        <w:rPr>
          <w:rFonts w:hint="eastAsia" w:ascii="仿宋_GB2312" w:hAnsi="___WRD_EMBED_SUB_45" w:eastAsia="仿宋_GB2312" w:cs="___WRD_EMBED_SUB_45"/>
          <w:sz w:val="32"/>
          <w:lang w:bidi="ar"/>
        </w:rPr>
        <w:t>地下文物保护的</w:t>
      </w:r>
      <w:r>
        <w:rPr>
          <w:rFonts w:hint="eastAsia" w:ascii="仿宋_GB2312" w:hAnsi="宋体" w:eastAsia="仿宋_GB2312" w:cs="宋体"/>
          <w:sz w:val="32"/>
          <w:lang w:bidi="ar"/>
        </w:rPr>
        <w:t>基础</w:t>
      </w:r>
      <w:r>
        <w:rPr>
          <w:rFonts w:hint="eastAsia" w:ascii="仿宋_GB2312" w:hAnsi="___WRD_EMBED_SUB_45" w:eastAsia="仿宋_GB2312" w:cs="___WRD_EMBED_SUB_45"/>
          <w:sz w:val="32"/>
          <w:lang w:bidi="ar"/>
        </w:rPr>
        <w:t>性工作。新修订的《中华人民共和国文物保护法》</w:t>
      </w:r>
      <w:r>
        <w:rPr>
          <w:rFonts w:hint="eastAsia" w:ascii="仿宋_GB2312" w:eastAsia="仿宋_GB2312"/>
          <w:sz w:val="32"/>
          <w:lang w:bidi="ar"/>
        </w:rPr>
        <w:t>自2025年3月1日起施行，确立了“</w:t>
      </w:r>
      <w:r>
        <w:rPr>
          <w:rFonts w:hint="eastAsia" w:ascii="仿宋_GB2312" w:hAnsi="宋体" w:eastAsia="仿宋_GB2312" w:cs="宋体"/>
          <w:sz w:val="32"/>
          <w:lang w:bidi="ar"/>
        </w:rPr>
        <w:t>先</w:t>
      </w:r>
      <w:r>
        <w:rPr>
          <w:rFonts w:hint="eastAsia" w:ascii="仿宋_GB2312" w:hAnsi="___WRD_EMBED_SUB_45" w:eastAsia="仿宋_GB2312" w:cs="___WRD_EMBED_SUB_45"/>
          <w:sz w:val="32"/>
          <w:lang w:bidi="ar"/>
        </w:rPr>
        <w:t>考古、后出</w:t>
      </w:r>
      <w:r>
        <w:rPr>
          <w:rFonts w:hint="eastAsia" w:ascii="仿宋_GB2312" w:hAnsi="宋体" w:eastAsia="仿宋_GB2312" w:cs="宋体"/>
          <w:sz w:val="32"/>
          <w:lang w:bidi="ar"/>
        </w:rPr>
        <w:t>让</w:t>
      </w:r>
      <w:r>
        <w:rPr>
          <w:rFonts w:hint="eastAsia" w:ascii="仿宋_GB2312" w:hAnsi="___WRD_EMBED_SUB_45" w:eastAsia="仿宋_GB2312" w:cs="___WRD_EMBED_SUB_45"/>
          <w:sz w:val="32"/>
          <w:lang w:bidi="ar"/>
        </w:rPr>
        <w:t>”的考古前置制度，明确在国有建设用地土地</w:t>
      </w:r>
      <w:r>
        <w:rPr>
          <w:rFonts w:hint="eastAsia" w:ascii="仿宋_GB2312" w:hAnsi="宋体" w:eastAsia="仿宋_GB2312" w:cs="宋体"/>
          <w:sz w:val="32"/>
          <w:lang w:bidi="ar"/>
        </w:rPr>
        <w:t>供应</w:t>
      </w:r>
      <w:r>
        <w:rPr>
          <w:rFonts w:hint="eastAsia" w:ascii="仿宋_GB2312" w:hAnsi="___WRD_EMBED_SUB_45" w:eastAsia="仿宋_GB2312" w:cs="___WRD_EMBED_SUB_45"/>
          <w:sz w:val="32"/>
          <w:lang w:bidi="ar"/>
        </w:rPr>
        <w:t>前，以</w:t>
      </w:r>
      <w:r>
        <w:rPr>
          <w:rFonts w:hint="eastAsia" w:ascii="仿宋_GB2312" w:hAnsi="宋体" w:eastAsia="仿宋_GB2312" w:cs="宋体"/>
          <w:sz w:val="32"/>
          <w:lang w:bidi="ar"/>
        </w:rPr>
        <w:t>及</w:t>
      </w:r>
      <w:r>
        <w:rPr>
          <w:rFonts w:hint="eastAsia" w:ascii="仿宋_GB2312" w:hAnsi="___WRD_EMBED_SUB_45" w:eastAsia="仿宋_GB2312" w:cs="___WRD_EMBED_SUB_45"/>
          <w:sz w:val="32"/>
          <w:lang w:bidi="ar"/>
        </w:rPr>
        <w:t>进行</w:t>
      </w:r>
      <w:r>
        <w:rPr>
          <w:rFonts w:hint="eastAsia" w:ascii="仿宋_GB2312" w:hAnsi="宋体" w:eastAsia="仿宋_GB2312" w:cs="宋体"/>
          <w:sz w:val="32"/>
          <w:lang w:bidi="ar"/>
        </w:rPr>
        <w:t>大型基</w:t>
      </w:r>
      <w:r>
        <w:rPr>
          <w:rFonts w:hint="eastAsia" w:ascii="仿宋_GB2312" w:hAnsi="___WRD_EMBED_SUB_45" w:eastAsia="仿宋_GB2312" w:cs="___WRD_EMBED_SUB_45"/>
          <w:sz w:val="32"/>
          <w:lang w:bidi="ar"/>
        </w:rPr>
        <w:t>本建设工程或</w:t>
      </w:r>
      <w:r>
        <w:rPr>
          <w:rFonts w:hint="eastAsia" w:ascii="仿宋_GB2312" w:hAnsi="宋体" w:eastAsia="仿宋_GB2312" w:cs="宋体"/>
          <w:sz w:val="32"/>
          <w:lang w:bidi="ar"/>
        </w:rPr>
        <w:t>者</w:t>
      </w:r>
      <w:r>
        <w:rPr>
          <w:rFonts w:hint="eastAsia" w:ascii="仿宋_GB2312" w:hAnsi="___WRD_EMBED_SUB_45" w:eastAsia="仿宋_GB2312" w:cs="___WRD_EMBED_SUB_45"/>
          <w:sz w:val="32"/>
          <w:lang w:bidi="ar"/>
        </w:rPr>
        <w:t>在文物保护单位的保护范围、建设</w:t>
      </w:r>
      <w:r>
        <w:rPr>
          <w:rFonts w:hint="eastAsia" w:ascii="仿宋_GB2312" w:hAnsi="宋体" w:eastAsia="仿宋_GB2312" w:cs="宋体"/>
          <w:sz w:val="32"/>
          <w:lang w:bidi="ar"/>
        </w:rPr>
        <w:t>控</w:t>
      </w:r>
      <w:r>
        <w:rPr>
          <w:rFonts w:hint="eastAsia" w:ascii="仿宋_GB2312" w:hAnsi="___WRD_EMBED_SUB_45" w:eastAsia="仿宋_GB2312" w:cs="___WRD_EMBED_SUB_45"/>
          <w:sz w:val="32"/>
          <w:lang w:bidi="ar"/>
        </w:rPr>
        <w:t>制地</w:t>
      </w:r>
      <w:r>
        <w:rPr>
          <w:rFonts w:hint="eastAsia" w:ascii="仿宋_GB2312" w:hAnsi="宋体" w:eastAsia="仿宋_GB2312" w:cs="宋体"/>
          <w:sz w:val="32"/>
          <w:lang w:bidi="ar"/>
        </w:rPr>
        <w:t>带</w:t>
      </w:r>
      <w:r>
        <w:rPr>
          <w:rFonts w:hint="eastAsia" w:ascii="仿宋_GB2312" w:hAnsi="___WRD_EMBED_SUB_45" w:eastAsia="仿宋_GB2312" w:cs="___WRD_EMBED_SUB_45"/>
          <w:sz w:val="32"/>
          <w:lang w:bidi="ar"/>
        </w:rPr>
        <w:t>内开展建设工程，</w:t>
      </w:r>
      <w:r>
        <w:rPr>
          <w:rFonts w:hint="eastAsia" w:ascii="仿宋_GB2312" w:hAnsi="宋体" w:eastAsia="仿宋_GB2312" w:cs="宋体"/>
          <w:sz w:val="32"/>
          <w:lang w:bidi="ar"/>
        </w:rPr>
        <w:t>应当</w:t>
      </w:r>
      <w:r>
        <w:rPr>
          <w:rFonts w:hint="eastAsia" w:ascii="仿宋_GB2312" w:hAnsi="___WRD_EMBED_SUB_45" w:eastAsia="仿宋_GB2312" w:cs="___WRD_EMBED_SUB_45"/>
          <w:sz w:val="32"/>
          <w:lang w:bidi="ar"/>
        </w:rPr>
        <w:t>依规组织开展考古调查、</w:t>
      </w:r>
      <w:r>
        <w:rPr>
          <w:rFonts w:hint="eastAsia" w:ascii="仿宋_GB2312" w:hAnsi="宋体" w:eastAsia="仿宋_GB2312" w:cs="宋体"/>
          <w:sz w:val="32"/>
          <w:lang w:bidi="ar"/>
        </w:rPr>
        <w:t>勘探</w:t>
      </w:r>
      <w:r>
        <w:rPr>
          <w:rFonts w:hint="eastAsia" w:ascii="仿宋_GB2312" w:hAnsi="___WRD_EMBED_SUB_45" w:eastAsia="仿宋_GB2312" w:cs="___WRD_EMBED_SUB_45"/>
          <w:sz w:val="32"/>
          <w:lang w:bidi="ar"/>
        </w:rPr>
        <w:t>、发</w:t>
      </w:r>
      <w:r>
        <w:rPr>
          <w:rFonts w:hint="eastAsia" w:ascii="仿宋_GB2312" w:hAnsi="宋体" w:eastAsia="仿宋_GB2312" w:cs="宋体"/>
          <w:sz w:val="32"/>
          <w:lang w:bidi="ar"/>
        </w:rPr>
        <w:t>掘</w:t>
      </w:r>
      <w:r>
        <w:rPr>
          <w:rFonts w:hint="eastAsia" w:ascii="仿宋_GB2312" w:hAnsi="___WRD_EMBED_SUB_45" w:eastAsia="仿宋_GB2312" w:cs="___WRD_EMBED_SUB_45"/>
          <w:sz w:val="32"/>
          <w:lang w:bidi="ar"/>
        </w:rPr>
        <w:t>，并将考古结果作为土地</w:t>
      </w:r>
      <w:r>
        <w:rPr>
          <w:rFonts w:hint="eastAsia" w:ascii="仿宋_GB2312" w:hAnsi="宋体" w:eastAsia="仿宋_GB2312" w:cs="宋体"/>
          <w:sz w:val="32"/>
          <w:lang w:bidi="ar"/>
        </w:rPr>
        <w:t>供应</w:t>
      </w:r>
      <w:r>
        <w:rPr>
          <w:rFonts w:hint="eastAsia" w:ascii="仿宋_GB2312" w:hAnsi="___WRD_EMBED_SUB_45" w:eastAsia="仿宋_GB2312" w:cs="___WRD_EMBED_SUB_45"/>
          <w:sz w:val="32"/>
          <w:lang w:bidi="ar"/>
        </w:rPr>
        <w:t>和项目审</w:t>
      </w:r>
      <w:r>
        <w:rPr>
          <w:rFonts w:hint="eastAsia" w:ascii="仿宋_GB2312" w:hAnsi="宋体" w:eastAsia="仿宋_GB2312" w:cs="宋体"/>
          <w:sz w:val="32"/>
          <w:lang w:bidi="ar"/>
        </w:rPr>
        <w:t>批</w:t>
      </w:r>
      <w:r>
        <w:rPr>
          <w:rFonts w:hint="eastAsia" w:ascii="仿宋_GB2312" w:hAnsi="___WRD_EMBED_SUB_45" w:eastAsia="仿宋_GB2312" w:cs="___WRD_EMBED_SUB_45"/>
          <w:sz w:val="32"/>
          <w:lang w:bidi="ar"/>
        </w:rPr>
        <w:t>的前置条件。《海南省文物保护条例》自</w:t>
      </w:r>
      <w:r>
        <w:rPr>
          <w:rFonts w:hint="eastAsia" w:ascii="仿宋_GB2312" w:eastAsia="仿宋_GB2312"/>
          <w:sz w:val="32"/>
          <w:lang w:bidi="ar"/>
        </w:rPr>
        <w:t>2025年3月1日起施行，对考古前置工作提出了具体要求。</w:t>
      </w:r>
    </w:p>
    <w:p>
      <w:pPr>
        <w:spacing w:line="578" w:lineRule="exact"/>
        <w:ind w:firstLine="640" w:firstLineChars="200"/>
        <w:rPr>
          <w:lang w:bidi="ar"/>
        </w:rPr>
      </w:pPr>
      <w:r>
        <w:rPr>
          <w:rFonts w:hint="eastAsia" w:ascii="仿宋_GB2312" w:eastAsia="仿宋_GB2312"/>
          <w:sz w:val="32"/>
          <w:lang w:bidi="ar"/>
        </w:rPr>
        <w:t>随着海南自由贸易港和国际旅游消费中心建设持续推进，我市土地储备、供应和各类工程建设规模不断扩大，地下文物保护与城乡建设协调衔接的任务日益繁重。从实际工作看，我市考古前置工作在部门职责、申请主体、经费来源、办理时限和成果运用等环节，还缺少统一、明确的操作规范，考古工作与土地收储、供应和项目审批的时序衔接不够顺畅，既可能影响项目落地效率，也存在“先建设、后考古”的隐患。为依法落实地下文物保护要求、方便</w:t>
      </w:r>
      <w:r>
        <w:rPr>
          <w:rFonts w:hint="eastAsia" w:ascii="仿宋_GB2312" w:eastAsia="仿宋_GB2312"/>
          <w:sz w:val="32"/>
          <w:lang w:eastAsia="zh-CN" w:bidi="ar"/>
        </w:rPr>
        <w:t>相关部门和建设</w:t>
      </w:r>
      <w:r>
        <w:rPr>
          <w:rFonts w:hint="eastAsia" w:ascii="仿宋_GB2312" w:eastAsia="仿宋_GB2312"/>
          <w:sz w:val="32"/>
          <w:lang w:bidi="ar"/>
        </w:rPr>
        <w:t>单位办</w:t>
      </w:r>
      <w:r>
        <w:rPr>
          <w:rFonts w:hint="eastAsia" w:ascii="仿宋_GB2312" w:eastAsia="仿宋_GB2312"/>
          <w:sz w:val="32"/>
          <w:lang w:eastAsia="zh-CN" w:bidi="ar"/>
        </w:rPr>
        <w:t>理相关手续</w:t>
      </w:r>
      <w:r>
        <w:rPr>
          <w:rFonts w:hint="eastAsia" w:ascii="仿宋_GB2312" w:eastAsia="仿宋_GB2312"/>
          <w:sz w:val="32"/>
          <w:lang w:bidi="ar"/>
        </w:rPr>
        <w:t>，有必要制定专门操作规程，将考古前置各环节的流程、责任和要求制度化、规范化。</w:t>
      </w:r>
    </w:p>
    <w:p>
      <w:pPr>
        <w:spacing w:line="578" w:lineRule="exact"/>
        <w:ind w:firstLine="640" w:firstLineChars="200"/>
        <w:rPr>
          <w:lang w:bidi="ar"/>
        </w:rPr>
      </w:pPr>
      <w:r>
        <w:rPr>
          <w:rFonts w:hint="eastAsia" w:ascii="黑体" w:hAnsi="黑体" w:eastAsia="黑体"/>
          <w:sz w:val="32"/>
          <w:lang w:bidi="ar"/>
        </w:rPr>
        <w:t>二、起草依据、过程</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规程》主要依据《中华人民共和国文物保护法》《中华人民共和国土地管理法》《中华人民共和国文物保护法实施条例》《海南省文物保护条例》《海南自由贸易港土地管理条例》《海南省土地储备管理办法》，以及《考古调查、勘探、发掘收费定额管理办法》等法律法规和规范性文件，结合我市土地储备供应和考古工作实际制定。</w:t>
      </w:r>
    </w:p>
    <w:p>
      <w:pPr>
        <w:spacing w:line="578" w:lineRule="exact"/>
        <w:ind w:firstLine="640" w:firstLineChars="200"/>
        <w:rPr>
          <w:lang w:bidi="ar"/>
        </w:rPr>
      </w:pPr>
      <w:r>
        <w:rPr>
          <w:rFonts w:hint="eastAsia" w:ascii="仿宋_GB2312" w:eastAsia="仿宋_GB2312"/>
          <w:sz w:val="32"/>
          <w:lang w:bidi="ar"/>
        </w:rPr>
        <w:t>起草过程中，我局组织学习上位法和相关政策规定，</w:t>
      </w:r>
      <w:r>
        <w:rPr>
          <w:rFonts w:hint="eastAsia" w:ascii="仿宋_GB2312" w:eastAsia="仿宋_GB2312"/>
          <w:sz w:val="32"/>
          <w:lang w:eastAsia="zh-CN" w:bidi="ar"/>
        </w:rPr>
        <w:t>协同市自然资源和规划部门</w:t>
      </w:r>
      <w:r>
        <w:rPr>
          <w:rFonts w:hint="eastAsia" w:ascii="仿宋_GB2312" w:eastAsia="仿宋_GB2312"/>
          <w:sz w:val="32"/>
          <w:lang w:bidi="ar"/>
        </w:rPr>
        <w:t>梳理我市土地收储、供应、建设项目审批以及考古调查、勘探、发掘工作流程，研究借鉴外地经验做法，形成《规程》初稿。随后书面征求市发展</w:t>
      </w:r>
      <w:r>
        <w:rPr>
          <w:rFonts w:hint="eastAsia" w:ascii="仿宋_GB2312" w:eastAsia="仿宋_GB2312"/>
          <w:sz w:val="32"/>
          <w:lang w:eastAsia="zh-CN" w:bidi="ar"/>
        </w:rPr>
        <w:t>和</w:t>
      </w:r>
      <w:r>
        <w:rPr>
          <w:rFonts w:hint="eastAsia" w:ascii="仿宋_GB2312" w:eastAsia="仿宋_GB2312"/>
          <w:sz w:val="32"/>
          <w:lang w:bidi="ar"/>
        </w:rPr>
        <w:t>改革、自然资源和规划、住房</w:t>
      </w:r>
      <w:r>
        <w:rPr>
          <w:rFonts w:hint="eastAsia" w:ascii="仿宋_GB2312" w:eastAsia="仿宋_GB2312"/>
          <w:sz w:val="32"/>
          <w:lang w:eastAsia="zh-CN" w:bidi="ar"/>
        </w:rPr>
        <w:t>和</w:t>
      </w:r>
      <w:r>
        <w:rPr>
          <w:rFonts w:hint="eastAsia" w:ascii="仿宋_GB2312" w:eastAsia="仿宋_GB2312"/>
          <w:sz w:val="32"/>
          <w:lang w:bidi="ar"/>
        </w:rPr>
        <w:t>城乡建设、财政等部门以及</w:t>
      </w:r>
      <w:r>
        <w:rPr>
          <w:rFonts w:hint="eastAsia" w:ascii="仿宋_GB2312" w:eastAsia="仿宋_GB2312"/>
          <w:sz w:val="32"/>
          <w:lang w:eastAsia="zh-CN" w:bidi="ar"/>
        </w:rPr>
        <w:t>我市</w:t>
      </w:r>
      <w:r>
        <w:rPr>
          <w:rFonts w:hint="eastAsia" w:ascii="仿宋_GB2312" w:eastAsia="仿宋_GB2312"/>
          <w:sz w:val="32"/>
          <w:lang w:bidi="ar"/>
        </w:rPr>
        <w:t>重点园区的意见，并就有关重点问题进行研究论证，对反馈意见逐条研究、合理吸纳，经反复修改完善，形成本征求意见稿。</w:t>
      </w:r>
    </w:p>
    <w:p>
      <w:pPr>
        <w:spacing w:line="578" w:lineRule="exact"/>
        <w:rPr>
          <w:lang w:bidi="ar"/>
        </w:rPr>
      </w:pPr>
      <w:r>
        <w:rPr>
          <w:rFonts w:hint="eastAsia" w:ascii="黑体" w:hAnsi="黑体" w:eastAsia="黑体"/>
          <w:sz w:val="32"/>
          <w:lang w:val="en-US" w:eastAsia="zh-CN" w:bidi="ar"/>
        </w:rPr>
        <w:t xml:space="preserve">    </w:t>
      </w:r>
      <w:bookmarkStart w:id="0" w:name="_GoBack"/>
      <w:bookmarkEnd w:id="0"/>
      <w:r>
        <w:rPr>
          <w:rFonts w:hint="eastAsia" w:ascii="黑体" w:hAnsi="黑体" w:eastAsia="黑体"/>
          <w:sz w:val="32"/>
          <w:lang w:bidi="ar"/>
        </w:rPr>
        <w:t>三、主要内容</w:t>
      </w:r>
    </w:p>
    <w:p>
      <w:pPr>
        <w:spacing w:line="578" w:lineRule="exact"/>
        <w:ind w:firstLine="640" w:firstLineChars="200"/>
        <w:rPr>
          <w:rFonts w:hint="eastAsia" w:ascii="仿宋_GB2312" w:hAnsi="仿宋_GB2312" w:eastAsia="仿宋_GB2312" w:cs="仿宋_GB2312"/>
          <w:lang w:bidi="ar"/>
        </w:rPr>
      </w:pPr>
      <w:r>
        <w:rPr>
          <w:rFonts w:hint="eastAsia" w:ascii="仿宋_GB2312" w:hAnsi="仿宋_GB2312" w:eastAsia="仿宋_GB2312" w:cs="仿宋_GB2312"/>
          <w:sz w:val="32"/>
          <w:lang w:bidi="ar"/>
        </w:rPr>
        <w:t>《规程》共五章十四条，主要内容如下：</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第一章 总则（第一条至第三条）。明确制定目的和依据，界定考古前置的含义，即在国有建设用地供应前和相关建设工程实施前，由文物行政部门组织开展考古调查、勘探、发掘，查清地下文物遗存情况，并将考古成果、文物保护要求等审查意见作为国有土地供应和项目审批的前置条件；确立工作方针</w:t>
      </w:r>
      <w:r>
        <w:rPr>
          <w:rFonts w:hint="eastAsia" w:ascii="仿宋_GB2312" w:eastAsia="仿宋_GB2312"/>
          <w:sz w:val="32"/>
          <w:lang w:eastAsia="zh-CN" w:bidi="ar"/>
        </w:rPr>
        <w:t>和</w:t>
      </w:r>
      <w:r>
        <w:rPr>
          <w:rFonts w:hint="eastAsia" w:ascii="仿宋_GB2312" w:eastAsia="仿宋_GB2312"/>
          <w:sz w:val="32"/>
          <w:lang w:bidi="ar"/>
        </w:rPr>
        <w:t>工作原则。</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第二章 适用范围（第四条至第五条）。明确考古工作时序，具备条件的地块原则上在土地收储入库前完成考古工作，暂不具备条件的在土地供应前完成考古调查、勘探；对已完成文物保护区域评估、已完成考古认定无地下文物遗存、不涉及地下开挖等八类地块，明确无需开展考古工作。</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第三章 工作程序（第六条至第十条）。明确自然资源和规划部门编制年度土地储备、供应计划时，应当书面征求文物行政部门意见；区分出让、划拨土地和大型</w:t>
      </w:r>
      <w:r>
        <w:rPr>
          <w:rFonts w:hint="eastAsia" w:ascii="仿宋_GB2312" w:eastAsia="仿宋_GB2312"/>
          <w:sz w:val="32"/>
          <w:lang w:eastAsia="zh-CN" w:bidi="ar"/>
        </w:rPr>
        <w:t>基本建设</w:t>
      </w:r>
      <w:r>
        <w:rPr>
          <w:rFonts w:hint="eastAsia" w:ascii="仿宋_GB2312" w:eastAsia="仿宋_GB2312"/>
          <w:sz w:val="32"/>
          <w:lang w:bidi="ar"/>
        </w:rPr>
        <w:t>工程，分别明确考古申请主体；规定委托具有考古发掘资质的单位实施并签订协议，明确考古调查、勘探经费分别纳入土地储备成本和建设工程预算；细化</w:t>
      </w:r>
      <w:r>
        <w:rPr>
          <w:rFonts w:hint="eastAsia" w:ascii="仿宋_GB2312" w:eastAsia="仿宋_GB2312"/>
          <w:sz w:val="32"/>
          <w:lang w:eastAsia="zh-CN" w:bidi="ar"/>
        </w:rPr>
        <w:t>考古</w:t>
      </w:r>
      <w:r>
        <w:rPr>
          <w:rFonts w:hint="eastAsia" w:ascii="仿宋_GB2312" w:eastAsia="仿宋_GB2312"/>
          <w:sz w:val="32"/>
          <w:lang w:bidi="ar"/>
        </w:rPr>
        <w:t>调查、勘探、发掘的办理程序</w:t>
      </w:r>
      <w:r>
        <w:rPr>
          <w:rFonts w:hint="eastAsia" w:ascii="仿宋_GB2312" w:eastAsia="仿宋_GB2312"/>
          <w:sz w:val="32"/>
          <w:lang w:eastAsia="zh-CN" w:bidi="ar"/>
        </w:rPr>
        <w:t>、</w:t>
      </w:r>
      <w:r>
        <w:rPr>
          <w:rFonts w:hint="eastAsia" w:ascii="仿宋_GB2312" w:eastAsia="仿宋_GB2312"/>
          <w:sz w:val="32"/>
          <w:lang w:bidi="ar"/>
        </w:rPr>
        <w:t>时限</w:t>
      </w:r>
      <w:r>
        <w:rPr>
          <w:rFonts w:hint="eastAsia" w:ascii="仿宋_GB2312" w:eastAsia="仿宋_GB2312"/>
          <w:sz w:val="32"/>
          <w:lang w:eastAsia="zh-CN" w:bidi="ar"/>
        </w:rPr>
        <w:t>和成果应用，</w:t>
      </w:r>
      <w:r>
        <w:rPr>
          <w:rFonts w:hint="eastAsia" w:ascii="仿宋_GB2312" w:eastAsia="仿宋_GB2312"/>
          <w:sz w:val="32"/>
          <w:lang w:bidi="ar"/>
        </w:rPr>
        <w:t>明确文物行政部门出具《考古工作完成意见书》，并将其作为土地供应和项目审批的必要前置条件</w:t>
      </w:r>
      <w:r>
        <w:rPr>
          <w:rFonts w:hint="eastAsia" w:ascii="仿宋_GB2312" w:eastAsia="仿宋_GB2312"/>
          <w:sz w:val="32"/>
          <w:lang w:eastAsia="zh-CN" w:bidi="ar"/>
        </w:rPr>
        <w:t>；</w:t>
      </w:r>
      <w:r>
        <w:rPr>
          <w:rFonts w:hint="eastAsia" w:ascii="仿宋_GB2312" w:eastAsia="仿宋_GB2312"/>
          <w:sz w:val="32"/>
          <w:lang w:bidi="ar"/>
        </w:rPr>
        <w:t>对需原址保护的地块</w:t>
      </w:r>
      <w:r>
        <w:rPr>
          <w:rFonts w:hint="eastAsia" w:ascii="仿宋_GB2312" w:eastAsia="仿宋_GB2312"/>
          <w:sz w:val="32"/>
          <w:lang w:eastAsia="zh-CN" w:bidi="ar"/>
        </w:rPr>
        <w:t>作出相应</w:t>
      </w:r>
      <w:r>
        <w:rPr>
          <w:rFonts w:hint="eastAsia" w:ascii="仿宋_GB2312" w:eastAsia="仿宋_GB2312"/>
          <w:sz w:val="32"/>
          <w:lang w:bidi="ar"/>
        </w:rPr>
        <w:t>要求。</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第四章 监督管理（第十一条至第十二条）。明确</w:t>
      </w:r>
      <w:r>
        <w:rPr>
          <w:rFonts w:hint="eastAsia" w:ascii="仿宋_GB2312" w:eastAsia="仿宋_GB2312"/>
          <w:sz w:val="32"/>
          <w:lang w:eastAsia="zh-CN" w:bidi="ar"/>
        </w:rPr>
        <w:t>市区两级</w:t>
      </w:r>
      <w:r>
        <w:rPr>
          <w:rFonts w:hint="eastAsia" w:ascii="仿宋_GB2312" w:eastAsia="仿宋_GB2312"/>
          <w:sz w:val="32"/>
          <w:lang w:bidi="ar"/>
        </w:rPr>
        <w:t>文物</w:t>
      </w:r>
      <w:r>
        <w:rPr>
          <w:rFonts w:hint="eastAsia" w:ascii="仿宋_GB2312" w:eastAsia="仿宋_GB2312"/>
          <w:sz w:val="32"/>
          <w:lang w:eastAsia="zh-CN" w:bidi="ar"/>
        </w:rPr>
        <w:t>部门</w:t>
      </w:r>
      <w:r>
        <w:rPr>
          <w:rFonts w:hint="eastAsia" w:ascii="仿宋_GB2312" w:eastAsia="仿宋_GB2312"/>
          <w:sz w:val="32"/>
          <w:lang w:bidi="ar"/>
        </w:rPr>
        <w:t>、发展</w:t>
      </w:r>
      <w:r>
        <w:rPr>
          <w:rFonts w:hint="eastAsia" w:ascii="仿宋_GB2312" w:eastAsia="仿宋_GB2312"/>
          <w:sz w:val="32"/>
          <w:lang w:eastAsia="zh-CN" w:bidi="ar"/>
        </w:rPr>
        <w:t>和</w:t>
      </w:r>
      <w:r>
        <w:rPr>
          <w:rFonts w:hint="eastAsia" w:ascii="仿宋_GB2312" w:eastAsia="仿宋_GB2312"/>
          <w:sz w:val="32"/>
          <w:lang w:bidi="ar"/>
        </w:rPr>
        <w:t>改革、自然资源和规划、住房</w:t>
      </w:r>
      <w:r>
        <w:rPr>
          <w:rFonts w:hint="eastAsia" w:ascii="仿宋_GB2312" w:eastAsia="仿宋_GB2312"/>
          <w:sz w:val="32"/>
          <w:lang w:eastAsia="zh-CN" w:bidi="ar"/>
        </w:rPr>
        <w:t>和</w:t>
      </w:r>
      <w:r>
        <w:rPr>
          <w:rFonts w:hint="eastAsia" w:ascii="仿宋_GB2312" w:eastAsia="仿宋_GB2312"/>
          <w:sz w:val="32"/>
          <w:lang w:bidi="ar"/>
        </w:rPr>
        <w:t>城乡建设、财政</w:t>
      </w:r>
      <w:r>
        <w:rPr>
          <w:rFonts w:hint="eastAsia" w:ascii="仿宋_GB2312" w:eastAsia="仿宋_GB2312"/>
          <w:sz w:val="32"/>
          <w:lang w:eastAsia="zh-CN" w:bidi="ar"/>
        </w:rPr>
        <w:t>部门</w:t>
      </w:r>
      <w:r>
        <w:rPr>
          <w:rFonts w:hint="eastAsia" w:ascii="仿宋_GB2312" w:eastAsia="仿宋_GB2312"/>
          <w:sz w:val="32"/>
          <w:lang w:bidi="ar"/>
        </w:rPr>
        <w:t>以及重点园区等</w:t>
      </w:r>
      <w:r>
        <w:rPr>
          <w:rFonts w:hint="eastAsia" w:ascii="仿宋_GB2312" w:eastAsia="仿宋_GB2312"/>
          <w:sz w:val="32"/>
          <w:lang w:eastAsia="zh-CN" w:bidi="ar"/>
        </w:rPr>
        <w:t>单位</w:t>
      </w:r>
      <w:r>
        <w:rPr>
          <w:rFonts w:hint="eastAsia" w:ascii="仿宋_GB2312" w:eastAsia="仿宋_GB2312"/>
          <w:sz w:val="32"/>
          <w:lang w:bidi="ar"/>
        </w:rPr>
        <w:t>的协同配合和信息沟通责任。</w:t>
      </w:r>
    </w:p>
    <w:p>
      <w:pPr>
        <w:spacing w:line="578" w:lineRule="exact"/>
        <w:ind w:firstLine="640" w:firstLineChars="200"/>
        <w:rPr>
          <w:rFonts w:hint="eastAsia" w:ascii="仿宋_GB2312" w:eastAsia="仿宋_GB2312"/>
          <w:sz w:val="32"/>
          <w:lang w:bidi="ar"/>
        </w:rPr>
      </w:pPr>
      <w:r>
        <w:rPr>
          <w:rFonts w:hint="eastAsia" w:ascii="仿宋_GB2312" w:eastAsia="仿宋_GB2312"/>
          <w:sz w:val="32"/>
          <w:lang w:bidi="ar"/>
        </w:rPr>
        <w:t>第五章 附则（第十三条至第十四条）。明确《规程》</w:t>
      </w:r>
      <w:r>
        <w:rPr>
          <w:rFonts w:hint="eastAsia" w:ascii="Times New Roman" w:hAnsi="Times New Roman" w:eastAsia="仿宋_GB2312" w:cs="Times New Roman"/>
          <w:color w:val="auto"/>
          <w:kern w:val="0"/>
          <w:sz w:val="32"/>
          <w:szCs w:val="32"/>
          <w:shd w:val="clear" w:color="auto" w:fill="FFFFFF"/>
          <w:lang w:val="en-US" w:eastAsia="zh-CN" w:bidi="ar"/>
        </w:rPr>
        <w:t>的解释权归属、施行日期和有效期等事项。</w:t>
      </w:r>
    </w:p>
    <w:p>
      <w:pPr>
        <w:spacing w:line="578" w:lineRule="exact"/>
        <w:rPr>
          <w:lang w:bidi="ar"/>
        </w:rPr>
      </w:pPr>
      <w:r>
        <w:rPr>
          <w:rFonts w:hint="eastAsia" w:ascii="黑体" w:hAnsi="黑体" w:eastAsia="黑体" w:cs="宋体"/>
          <w:sz w:val="32"/>
          <w:lang w:val="en-US" w:eastAsia="zh-CN" w:bidi="ar"/>
        </w:rPr>
        <w:t xml:space="preserve">    </w:t>
      </w:r>
      <w:r>
        <w:rPr>
          <w:rFonts w:hint="eastAsia" w:ascii="黑体" w:hAnsi="黑体" w:eastAsia="黑体" w:cs="宋体"/>
          <w:sz w:val="32"/>
          <w:lang w:bidi="ar"/>
        </w:rPr>
        <w:t>四</w:t>
      </w:r>
      <w:r>
        <w:rPr>
          <w:rFonts w:hint="eastAsia" w:ascii="黑体" w:hAnsi="黑体" w:eastAsia="黑体"/>
          <w:sz w:val="32"/>
          <w:lang w:bidi="ar"/>
        </w:rPr>
        <w:t>、需要重</w:t>
      </w:r>
      <w:r>
        <w:rPr>
          <w:rFonts w:hint="eastAsia" w:ascii="黑体" w:hAnsi="黑体" w:eastAsia="黑体" w:cs="宋体"/>
          <w:sz w:val="32"/>
          <w:lang w:bidi="ar"/>
        </w:rPr>
        <w:t>点</w:t>
      </w:r>
      <w:r>
        <w:rPr>
          <w:rFonts w:hint="eastAsia" w:ascii="黑体" w:hAnsi="黑体" w:eastAsia="黑体"/>
          <w:sz w:val="32"/>
          <w:lang w:bidi="ar"/>
        </w:rPr>
        <w:t>关注和</w:t>
      </w:r>
      <w:r>
        <w:rPr>
          <w:rFonts w:hint="eastAsia" w:ascii="黑体" w:hAnsi="黑体" w:eastAsia="黑体" w:cs="宋体"/>
          <w:sz w:val="32"/>
          <w:lang w:bidi="ar"/>
        </w:rPr>
        <w:t>讨</w:t>
      </w:r>
      <w:r>
        <w:rPr>
          <w:rFonts w:hint="eastAsia" w:ascii="黑体" w:hAnsi="黑体" w:eastAsia="黑体"/>
          <w:sz w:val="32"/>
          <w:lang w:bidi="ar"/>
        </w:rPr>
        <w:t>论的事项</w:t>
      </w:r>
    </w:p>
    <w:p>
      <w:pPr>
        <w:spacing w:line="578" w:lineRule="exact"/>
        <w:ind w:firstLine="640" w:firstLineChars="200"/>
        <w:rPr>
          <w:sz w:val="32"/>
          <w:szCs w:val="32"/>
          <w:lang w:bidi="ar"/>
        </w:rPr>
      </w:pPr>
      <w:r>
        <w:rPr>
          <w:rFonts w:hint="eastAsia" w:ascii="楷体_GB2312" w:hAnsi="楷体_GB2312" w:eastAsia="楷体_GB2312" w:cs="楷体_GB2312"/>
          <w:sz w:val="32"/>
          <w:lang w:bidi="ar"/>
        </w:rPr>
        <w:t>（一）关于适用范围和免于考古情形的说明。</w:t>
      </w:r>
      <w:r>
        <w:rPr>
          <w:rFonts w:hint="eastAsia" w:ascii="仿宋_GB2312" w:eastAsia="仿宋_GB2312"/>
          <w:sz w:val="32"/>
          <w:szCs w:val="32"/>
          <w:lang w:bidi="ar"/>
        </w:rPr>
        <w:t>《规程》在落实“应考尽考”的同时，对已完成区域评估、已完成考古认定无遗存以及不涉及地下开挖等情形作出免于考古的规定，目的是减少重复作业、缩短办理周期、减轻用地单位负担，体现分类管控、便民利民；同时保留施工中发现文物立即停工报告的要求，防止出现管理空档。</w:t>
      </w:r>
    </w:p>
    <w:p>
      <w:pPr>
        <w:spacing w:line="578" w:lineRule="exact"/>
        <w:ind w:firstLine="640" w:firstLineChars="200"/>
        <w:rPr>
          <w:rFonts w:hint="eastAsia" w:ascii="仿宋_GB2312" w:hAnsi="仿宋_GB2312" w:eastAsia="仿宋_GB2312" w:cs="仿宋_GB2312"/>
          <w:sz w:val="32"/>
          <w:szCs w:val="32"/>
          <w:lang w:bidi="ar"/>
        </w:rPr>
      </w:pPr>
      <w:r>
        <w:rPr>
          <w:rFonts w:hint="eastAsia" w:ascii="楷体_GB2312" w:hAnsi="楷体_GB2312" w:eastAsia="楷体_GB2312" w:cs="楷体_GB2312"/>
          <w:sz w:val="32"/>
          <w:lang w:bidi="ar"/>
        </w:rPr>
        <w:t>（二）关于申请主体和经费保障的说明。</w:t>
      </w:r>
      <w:r>
        <w:rPr>
          <w:rFonts w:hint="eastAsia" w:ascii="仿宋_GB2312" w:hAnsi="仿宋_GB2312" w:eastAsia="仿宋_GB2312" w:cs="仿宋_GB2312"/>
          <w:sz w:val="32"/>
          <w:szCs w:val="32"/>
          <w:lang w:bidi="ar"/>
        </w:rPr>
        <w:t>《规程》区分供地方式：以出让方式供应的土地，由市自然资源和规划部门提出考古申请，所需经费列入土地储备机构年度预算、纳入土地储备成本；以划拨方式供应的土地和大型</w:t>
      </w:r>
      <w:r>
        <w:rPr>
          <w:rFonts w:hint="eastAsia" w:ascii="仿宋_GB2312" w:hAnsi="仿宋_GB2312" w:eastAsia="仿宋_GB2312" w:cs="仿宋_GB2312"/>
          <w:sz w:val="32"/>
          <w:szCs w:val="32"/>
          <w:lang w:eastAsia="zh-CN" w:bidi="ar"/>
        </w:rPr>
        <w:t>基本建设</w:t>
      </w:r>
      <w:r>
        <w:rPr>
          <w:rFonts w:hint="eastAsia" w:ascii="仿宋_GB2312" w:hAnsi="仿宋_GB2312" w:eastAsia="仿宋_GB2312" w:cs="仿宋_GB2312"/>
          <w:sz w:val="32"/>
          <w:szCs w:val="32"/>
          <w:lang w:bidi="ar"/>
        </w:rPr>
        <w:t>工程，由项目建设单位提出申请，所需经费纳入建设工程预算、按工程建设其他费用列支。这样既明确了责任主体，又落实了经费来源，便于考古前置工作落地。</w:t>
      </w:r>
    </w:p>
    <w:p>
      <w:pPr>
        <w:spacing w:line="578" w:lineRule="exact"/>
        <w:ind w:firstLine="640" w:firstLineChars="200"/>
        <w:rPr>
          <w:lang w:bidi="ar"/>
        </w:rPr>
      </w:pPr>
      <w:r>
        <w:rPr>
          <w:rFonts w:hint="eastAsia" w:ascii="楷体_GB2312" w:hAnsi="楷体_GB2312" w:eastAsia="楷体_GB2312" w:cs="楷体_GB2312"/>
          <w:sz w:val="32"/>
          <w:lang w:bidi="ar"/>
        </w:rPr>
        <w:t>（三）关于考古成果运用的说明。</w:t>
      </w:r>
      <w:r>
        <w:rPr>
          <w:rFonts w:hint="eastAsia" w:ascii="仿宋_GB2312" w:eastAsia="仿宋_GB2312"/>
          <w:sz w:val="32"/>
          <w:lang w:bidi="ar"/>
        </w:rPr>
        <w:t>《规程》将《考古工作完成意见书》作为土地供应和项目审批的必要前置条件，并要求在土地出让公告、出让合同、划拨决定书和建设项目规划条件中载明考古结论及文物保护要求，实现文物保护要求与土地、规划管理的衔接闭环；对发现重要遗存、需要原址保护的，及时调整供地方案或规划条件，做到既守住文物安全底线，又依法保障项目合理推进。</w:t>
      </w:r>
    </w:p>
    <w:p>
      <w:pPr>
        <w:spacing w:line="578" w:lineRule="exact"/>
        <w:ind w:firstLine="640" w:firstLineChars="200"/>
        <w:rPr>
          <w:rFonts w:hint="eastAsia" w:ascii="仿宋_GB2312" w:hAnsi="仿宋_GB2312" w:eastAsia="仿宋_GB2312" w:cs="仿宋_GB2312"/>
          <w:sz w:val="32"/>
          <w:szCs w:val="32"/>
          <w:lang w:bidi="ar"/>
        </w:rPr>
      </w:pPr>
      <w:r>
        <w:rPr>
          <w:rFonts w:hint="eastAsia" w:ascii="楷体_GB2312" w:hAnsi="楷体_GB2312" w:eastAsia="楷体_GB2312" w:cs="楷体_GB2312"/>
          <w:sz w:val="32"/>
          <w:lang w:bidi="ar"/>
        </w:rPr>
        <w:t>（四）关于部门协同和属地管理的说明。</w:t>
      </w:r>
      <w:r>
        <w:rPr>
          <w:rFonts w:hint="eastAsia" w:ascii="仿宋_GB2312" w:hAnsi="仿宋_GB2312" w:eastAsia="仿宋_GB2312" w:cs="仿宋_GB2312"/>
          <w:sz w:val="32"/>
          <w:szCs w:val="32"/>
          <w:lang w:bidi="ar"/>
        </w:rPr>
        <w:t>考古前置工作涉及文物、发展</w:t>
      </w:r>
      <w:r>
        <w:rPr>
          <w:rFonts w:hint="eastAsia" w:ascii="仿宋_GB2312" w:hAnsi="仿宋_GB2312" w:eastAsia="仿宋_GB2312" w:cs="仿宋_GB2312"/>
          <w:sz w:val="32"/>
          <w:szCs w:val="32"/>
          <w:lang w:eastAsia="zh-CN" w:bidi="ar"/>
        </w:rPr>
        <w:t>和</w:t>
      </w:r>
      <w:r>
        <w:rPr>
          <w:rFonts w:hint="eastAsia" w:ascii="仿宋_GB2312" w:hAnsi="仿宋_GB2312" w:eastAsia="仿宋_GB2312" w:cs="仿宋_GB2312"/>
          <w:sz w:val="32"/>
          <w:szCs w:val="32"/>
          <w:lang w:bidi="ar"/>
        </w:rPr>
        <w:t>改革、自然资源和规划、住房</w:t>
      </w:r>
      <w:r>
        <w:rPr>
          <w:rFonts w:hint="eastAsia" w:ascii="仿宋_GB2312" w:hAnsi="仿宋_GB2312" w:eastAsia="仿宋_GB2312" w:cs="仿宋_GB2312"/>
          <w:sz w:val="32"/>
          <w:szCs w:val="32"/>
          <w:lang w:eastAsia="zh-CN" w:bidi="ar"/>
        </w:rPr>
        <w:t>和</w:t>
      </w:r>
      <w:r>
        <w:rPr>
          <w:rFonts w:hint="eastAsia" w:ascii="仿宋_GB2312" w:hAnsi="仿宋_GB2312" w:eastAsia="仿宋_GB2312" w:cs="仿宋_GB2312"/>
          <w:sz w:val="32"/>
          <w:szCs w:val="32"/>
          <w:lang w:bidi="ar"/>
        </w:rPr>
        <w:t>城乡建设、财政以及各区、园区等多个方面。《规程》坚持市级统筹、部门协同和属地（园区）管理，明确各环节职责和信息互通要求，并对政府储备地块的日常巡查、安全防护责任作出规定，推动形成工作合力。</w:t>
      </w:r>
    </w:p>
    <w:p>
      <w:pPr>
        <w:spacing w:line="578" w:lineRule="exact"/>
        <w:rPr>
          <w:lang w:bidi="ar"/>
        </w:rPr>
      </w:pPr>
      <w:r>
        <w:rPr>
          <w:rFonts w:hint="eastAsia" w:ascii="黑体" w:hAnsi="黑体" w:eastAsia="黑体"/>
          <w:sz w:val="32"/>
          <w:lang w:val="en-US" w:eastAsia="zh-CN" w:bidi="ar"/>
        </w:rPr>
        <w:t xml:space="preserve">    </w:t>
      </w:r>
      <w:r>
        <w:rPr>
          <w:rFonts w:hint="eastAsia" w:ascii="黑体" w:hAnsi="黑体" w:eastAsia="黑体"/>
          <w:sz w:val="32"/>
          <w:lang w:bidi="ar"/>
        </w:rPr>
        <w:t>五、下步文件流转程序及文件印发形式</w:t>
      </w:r>
    </w:p>
    <w:p>
      <w:pPr>
        <w:spacing w:line="578" w:lineRule="exact"/>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三亚市考古前置操作规程》属于行政规范性文件。下一步将按照《三亚市规章与行政规范性文件管理办法》规定的程序，面向社会公众公开征求意见（不少于30日），同步开展公平竞争审查、制度廉洁性评估和合法性审核，按程序提请部门（局）会议审议；根据审议意见修改完善后，由市旅游和文化广电体育局（市文物局）会同市自然资源和规划局联合印发实施，并按规定向市司法行政部门备案。</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___WRD_EMBED_SUB_45">
    <w:altName w:val="Noto Serif CJK SC"/>
    <w:panose1 w:val="00000000000000000000"/>
    <w:charset w:val="86"/>
    <w:family w:val="modern"/>
    <w:pitch w:val="default"/>
    <w:sig w:usb0="00000000" w:usb1="00000000"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A0000287" w:usb1="28C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erif CJK SC">
    <w:panose1 w:val="02020500000000000000"/>
    <w:charset w:val="86"/>
    <w:family w:val="auto"/>
    <w:pitch w:val="default"/>
    <w:sig w:usb0="30000083" w:usb1="2BDF3C10" w:usb2="00000016" w:usb3="00000000" w:csb0="602E0107"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true"/>
  <w:bordersDoNotSurroundFooter w:val="true"/>
  <w:doNotTrackMoves/>
  <w:documentProtection w:enforcement="0"/>
  <w:defaultTabStop w:val="420"/>
  <w:drawingGridVerticalSpacing w:val="156"/>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FDD68155"/>
    <w:rsid w:val="00222707"/>
    <w:rsid w:val="00400D97"/>
    <w:rsid w:val="004B6B37"/>
    <w:rsid w:val="005A325D"/>
    <w:rsid w:val="006242DB"/>
    <w:rsid w:val="007A6436"/>
    <w:rsid w:val="00C050A9"/>
    <w:rsid w:val="0B1FE989"/>
    <w:rsid w:val="1F1D5C1A"/>
    <w:rsid w:val="2F3E5A4D"/>
    <w:rsid w:val="303F0F98"/>
    <w:rsid w:val="375DF424"/>
    <w:rsid w:val="3BFFFCE4"/>
    <w:rsid w:val="3D6CC753"/>
    <w:rsid w:val="3DAE2592"/>
    <w:rsid w:val="3EFF3F88"/>
    <w:rsid w:val="3FF0B043"/>
    <w:rsid w:val="3FFB5C84"/>
    <w:rsid w:val="3FFCF447"/>
    <w:rsid w:val="47FD9FAC"/>
    <w:rsid w:val="4D7F75D0"/>
    <w:rsid w:val="56E7EB12"/>
    <w:rsid w:val="5FEA0718"/>
    <w:rsid w:val="5FFF73B2"/>
    <w:rsid w:val="5FFF7C64"/>
    <w:rsid w:val="63F79B14"/>
    <w:rsid w:val="66C40B4C"/>
    <w:rsid w:val="6BFF1DC3"/>
    <w:rsid w:val="6EFE7124"/>
    <w:rsid w:val="6FFD5765"/>
    <w:rsid w:val="737B0A3D"/>
    <w:rsid w:val="738B43CD"/>
    <w:rsid w:val="76799961"/>
    <w:rsid w:val="767D2A72"/>
    <w:rsid w:val="76F6063D"/>
    <w:rsid w:val="773D321C"/>
    <w:rsid w:val="7CFD35F2"/>
    <w:rsid w:val="7CFF9289"/>
    <w:rsid w:val="7DFFE19A"/>
    <w:rsid w:val="7EBF2ACB"/>
    <w:rsid w:val="7F2CAFCC"/>
    <w:rsid w:val="7F6B76F1"/>
    <w:rsid w:val="7FFD06AE"/>
    <w:rsid w:val="8DDF91F7"/>
    <w:rsid w:val="8EFF3AFF"/>
    <w:rsid w:val="96EE3CDF"/>
    <w:rsid w:val="9DF7AA8F"/>
    <w:rsid w:val="9FFBFC6B"/>
    <w:rsid w:val="AFEB3DF1"/>
    <w:rsid w:val="BEEE5235"/>
    <w:rsid w:val="BFC58F86"/>
    <w:rsid w:val="CCD3FD78"/>
    <w:rsid w:val="D1AFFFAB"/>
    <w:rsid w:val="D7DD2939"/>
    <w:rsid w:val="DE27B65B"/>
    <w:rsid w:val="DED5EBE9"/>
    <w:rsid w:val="DF57A410"/>
    <w:rsid w:val="DFBF6B50"/>
    <w:rsid w:val="DFF603CD"/>
    <w:rsid w:val="E12552F2"/>
    <w:rsid w:val="E12E261F"/>
    <w:rsid w:val="E675C578"/>
    <w:rsid w:val="EBD7A965"/>
    <w:rsid w:val="EBF4C540"/>
    <w:rsid w:val="EC77D77B"/>
    <w:rsid w:val="EEF68A54"/>
    <w:rsid w:val="EFD70993"/>
    <w:rsid w:val="F6AFA151"/>
    <w:rsid w:val="F75BE263"/>
    <w:rsid w:val="FDBF3AD4"/>
    <w:rsid w:val="FDD68155"/>
    <w:rsid w:val="FDEF1699"/>
    <w:rsid w:val="FE7B1FF8"/>
    <w:rsid w:val="FEF58850"/>
    <w:rsid w:val="FF63F91F"/>
    <w:rsid w:val="FF7F8DB2"/>
    <w:rsid w:val="FFB74362"/>
    <w:rsid w:val="FFBBB19D"/>
    <w:rsid w:val="FFEFB687"/>
    <w:rsid w:val="FFFE798E"/>
    <w:rsid w:val="FFFF0B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99"/>
    <w:pPr>
      <w:textAlignment w:val="baseline"/>
    </w:pPr>
    <w:rPr>
      <w:rFonts w:ascii="Times New Roman" w:hAnsi="Times New Roman" w:eastAsia="仿宋_GB2312"/>
      <w:sz w:val="32"/>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BodyText1I2"/>
    <w:basedOn w:val="8"/>
    <w:qFormat/>
    <w:uiPriority w:val="0"/>
    <w:pPr>
      <w:spacing w:after="120"/>
      <w:ind w:left="420" w:leftChars="200" w:firstLine="420" w:firstLineChars="200"/>
    </w:pPr>
    <w:rPr>
      <w:rFonts w:ascii="Calibri" w:eastAsia="宋体"/>
      <w:sz w:val="21"/>
      <w:szCs w:val="22"/>
    </w:rPr>
  </w:style>
  <w:style w:type="paragraph" w:customStyle="1" w:styleId="8">
    <w:name w:val="BodyTextIndent"/>
    <w:basedOn w:val="1"/>
    <w:qFormat/>
    <w:uiPriority w:val="0"/>
    <w:pPr>
      <w:ind w:firstLine="540"/>
      <w:textAlignment w:val="baseline"/>
    </w:pPr>
    <w:rPr>
      <w:rFonts w:ascii="仿宋_GB2312" w:eastAsia="仿宋_GB2312"/>
      <w:sz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1439</Words>
  <Characters>1440</Characters>
  <Lines>60</Lines>
  <Paragraphs>23</Paragraphs>
  <TotalTime>6</TotalTime>
  <ScaleCrop>false</ScaleCrop>
  <LinksUpToDate>false</LinksUpToDate>
  <CharactersWithSpaces>2856</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2026-10-23T12:00:00Z</dcterms:created>
  <dc:creator>user</dc:creator>
  <cp:lastModifiedBy>user</cp:lastModifiedBy>
  <dcterms:modified xsi:type="dcterms:W3CDTF">2026-10-23T16:45:17Z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KSOTemplateDocerSaveRecord">
    <vt:lpwstr>eyJoZGlkIjoiYWNmMDE1YTdlYjRjYzViYTdmYmIzYzMzZjJjM2E0MDUiLCJ1c2VySWQiOiIxNTAwMTI3Nzg0In0=</vt:lpwstr>
  </property>
  <property fmtid="{D5CDD505-2E9C-101B-9397-08002B2CF9AE}" pid="4" name="ICV">
    <vt:lpwstr>B92DB591066B41E68DFA573546DB5CF9_12</vt:lpwstr>
  </property>
</Properties>
</file>