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rPr>
          <w:rFonts w:hint="eastAsia" w:ascii="黑体" w:hAnsi="黑体" w:eastAsia="黑体" w:cs="黑体"/>
          <w:color w:val="auto"/>
          <w:sz w:val="32"/>
          <w:szCs w:val="32"/>
        </w:rPr>
      </w:pPr>
      <w:bookmarkStart w:id="0" w:name="三亚市土地供应考古前置管理办法条款对照表"/>
      <w:r>
        <w:rPr>
          <w:rFonts w:hint="eastAsia" w:ascii="黑体" w:hAnsi="黑体" w:eastAsia="黑体" w:cs="黑体"/>
          <w:color w:val="auto"/>
          <w:kern w:val="0"/>
          <w:sz w:val="32"/>
          <w:szCs w:val="32"/>
          <w:shd w:val="clear" w:color="auto" w:fill="FFFFFF"/>
          <w:lang w:bidi="ar"/>
        </w:rPr>
        <w:t>附件</w:t>
      </w:r>
      <w:r>
        <w:rPr>
          <w:rFonts w:hint="eastAsia" w:ascii="黑体" w:hAnsi="黑体" w:eastAsia="黑体" w:cs="黑体"/>
          <w:color w:val="auto"/>
          <w:kern w:val="0"/>
          <w:sz w:val="32"/>
          <w:szCs w:val="32"/>
          <w:shd w:val="clear" w:color="auto" w:fill="FFFFFF"/>
          <w:lang w:val="en-US" w:eastAsia="zh-CN" w:bidi="ar"/>
        </w:rPr>
        <w:t>1</w:t>
      </w:r>
    </w:p>
    <w:p>
      <w:pPr>
        <w:pStyle w:val="3"/>
        <w:pageBreakBefore w:val="0"/>
        <w:widowControl w:val="0"/>
        <w:kinsoku/>
        <w:wordWrap/>
        <w:overflowPunct/>
        <w:topLinePunct w:val="0"/>
        <w:autoSpaceDE/>
        <w:autoSpaceDN/>
        <w:bidi w:val="0"/>
        <w:adjustRightInd w:val="0"/>
        <w:snapToGrid w:val="0"/>
        <w:spacing w:before="0" w:after="0" w:line="556" w:lineRule="exact"/>
        <w:jc w:val="center"/>
        <w:textAlignment w:val="auto"/>
        <w:rPr>
          <w:rFonts w:hint="eastAsia" w:ascii="方正书宋_GBK" w:hAnsi="方正书宋_GBK" w:eastAsia="方正小标宋简体" w:cs="方正书宋_GBK"/>
          <w:b/>
          <w:bCs/>
          <w:color w:val="auto"/>
          <w:sz w:val="44"/>
          <w:szCs w:val="44"/>
          <w:lang w:eastAsia="zh-CN"/>
        </w:rPr>
      </w:pPr>
      <w:r>
        <w:rPr>
          <w:rFonts w:hint="eastAsia" w:ascii="方正小标宋简体" w:hAnsi="方正小标宋简体" w:eastAsia="方正小标宋简体" w:cs="方正小标宋简体"/>
          <w:color w:val="auto"/>
          <w:sz w:val="44"/>
          <w:szCs w:val="44"/>
        </w:rPr>
        <w:t>三亚市考古前置</w:t>
      </w:r>
      <w:r>
        <w:rPr>
          <w:rFonts w:hint="default" w:ascii="方正小标宋简体" w:hAnsi="方正小标宋简体" w:eastAsia="方正小标宋简体" w:cs="方正小标宋简体"/>
          <w:color w:val="auto"/>
          <w:sz w:val="44"/>
          <w:szCs w:val="44"/>
          <w:lang w:val="en"/>
        </w:rPr>
        <w:t>操作规程</w:t>
      </w:r>
      <w:r>
        <w:rPr>
          <w:rFonts w:hint="eastAsia" w:ascii="方正小标宋简体" w:hAnsi="方正小标宋简体" w:eastAsia="方正小标宋简体" w:cs="方正小标宋简体"/>
          <w:color w:val="auto"/>
          <w:sz w:val="44"/>
          <w:szCs w:val="44"/>
          <w:lang w:eastAsia="zh-CN"/>
        </w:rPr>
        <w:t>（征求意见稿）</w:t>
      </w:r>
    </w:p>
    <w:p>
      <w:pPr>
        <w:pStyle w:val="29"/>
        <w:pageBreakBefore w:val="0"/>
        <w:widowControl w:val="0"/>
        <w:numPr>
          <w:ilvl w:val="0"/>
          <w:numId w:val="1"/>
        </w:numPr>
        <w:kinsoku/>
        <w:wordWrap/>
        <w:overflowPunct/>
        <w:topLinePunct w:val="0"/>
        <w:autoSpaceDE/>
        <w:autoSpaceDN/>
        <w:bidi w:val="0"/>
        <w:adjustRightInd w:val="0"/>
        <w:snapToGrid w:val="0"/>
        <w:spacing w:before="0" w:after="0" w:line="556" w:lineRule="exact"/>
        <w:jc w:val="center"/>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总则</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第一条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为贯彻落实好</w:t>
      </w:r>
      <w:r>
        <w:rPr>
          <w:rFonts w:hint="eastAsia" w:ascii="仿宋_GB2312" w:hAnsi="仿宋_GB2312" w:eastAsia="仿宋_GB2312" w:cs="仿宋_GB2312"/>
          <w:color w:val="auto"/>
          <w:sz w:val="32"/>
          <w:szCs w:val="32"/>
          <w:lang w:eastAsia="zh-CN"/>
        </w:rPr>
        <w:t>“考古前置”</w:t>
      </w:r>
      <w:r>
        <w:rPr>
          <w:rFonts w:hint="eastAsia" w:ascii="仿宋_GB2312" w:hAnsi="仿宋_GB2312" w:eastAsia="仿宋_GB2312" w:cs="仿宋_GB2312"/>
          <w:color w:val="auto"/>
          <w:sz w:val="32"/>
          <w:szCs w:val="32"/>
        </w:rPr>
        <w:t>制度，推动文物保护与三亚经济社会高质量协调发展，根据《中华人民共和国文物保护法（2024年修订版）》《中华人民共和国土地管理法》《海南省文物保护条例》《海南自由贸易港土地管理条例》</w:t>
      </w:r>
      <w:r>
        <w:rPr>
          <w:rFonts w:hint="eastAsia" w:ascii="仿宋_GB2312" w:hAnsi="仿宋_GB2312" w:eastAsia="仿宋_GB2312" w:cs="仿宋_GB2312"/>
          <w:color w:val="auto"/>
          <w:sz w:val="32"/>
          <w:szCs w:val="32"/>
          <w:lang w:eastAsia="zh-CN"/>
        </w:rPr>
        <w:t>《海南省土地储备管理办法》</w:t>
      </w:r>
      <w:r>
        <w:rPr>
          <w:rFonts w:hint="eastAsia" w:ascii="仿宋_GB2312" w:hAnsi="仿宋_GB2312" w:eastAsia="仿宋_GB2312" w:cs="仿宋_GB2312"/>
          <w:color w:val="auto"/>
          <w:sz w:val="32"/>
          <w:szCs w:val="32"/>
        </w:rPr>
        <w:t>等法律法规，结合</w:t>
      </w:r>
      <w:r>
        <w:rPr>
          <w:rFonts w:hint="eastAsia" w:ascii="仿宋_GB2312" w:hAnsi="仿宋_GB2312" w:eastAsia="仿宋_GB2312" w:cs="仿宋_GB2312"/>
          <w:color w:val="auto"/>
          <w:sz w:val="32"/>
          <w:szCs w:val="32"/>
          <w:lang w:eastAsia="zh-CN"/>
        </w:rPr>
        <w:t>本市</w:t>
      </w:r>
      <w:r>
        <w:rPr>
          <w:rFonts w:hint="eastAsia" w:ascii="仿宋_GB2312" w:hAnsi="仿宋_GB2312" w:eastAsia="仿宋_GB2312" w:cs="仿宋_GB2312"/>
          <w:color w:val="auto"/>
          <w:sz w:val="32"/>
          <w:szCs w:val="32"/>
        </w:rPr>
        <w:t>实际，制定本</w:t>
      </w:r>
      <w:r>
        <w:rPr>
          <w:rFonts w:hint="default" w:ascii="仿宋_GB2312" w:hAnsi="仿宋_GB2312" w:eastAsia="仿宋_GB2312" w:cs="仿宋_GB2312"/>
          <w:color w:val="auto"/>
          <w:sz w:val="32"/>
          <w:szCs w:val="32"/>
          <w:lang w:val="en"/>
        </w:rPr>
        <w:t>规程</w:t>
      </w:r>
      <w:r>
        <w:rPr>
          <w:rFonts w:hint="eastAsia" w:ascii="仿宋_GB2312" w:hAnsi="仿宋_GB2312" w:eastAsia="仿宋_GB2312" w:cs="仿宋_GB2312"/>
          <w:color w:val="auto"/>
          <w:sz w:val="32"/>
          <w:szCs w:val="32"/>
        </w:rPr>
        <w:t>。</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第二条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w:t>
      </w:r>
      <w:r>
        <w:rPr>
          <w:rFonts w:hint="default" w:ascii="仿宋_GB2312" w:hAnsi="仿宋_GB2312" w:eastAsia="仿宋_GB2312" w:cs="仿宋_GB2312"/>
          <w:color w:val="auto"/>
          <w:sz w:val="32"/>
          <w:szCs w:val="32"/>
          <w:lang w:val="en"/>
        </w:rPr>
        <w:t>规程</w:t>
      </w:r>
      <w:r>
        <w:rPr>
          <w:rFonts w:hint="eastAsia" w:ascii="仿宋_GB2312" w:hAnsi="仿宋_GB2312" w:eastAsia="仿宋_GB2312" w:cs="仿宋_GB2312"/>
          <w:color w:val="auto"/>
          <w:sz w:val="32"/>
          <w:szCs w:val="32"/>
        </w:rPr>
        <w:t>所称考古前置，是指在</w:t>
      </w:r>
      <w:r>
        <w:rPr>
          <w:rFonts w:hint="eastAsia" w:ascii="仿宋_GB2312" w:hAnsi="仿宋_GB2312" w:eastAsia="仿宋_GB2312" w:cs="仿宋_GB2312"/>
          <w:color w:val="auto"/>
          <w:sz w:val="32"/>
          <w:szCs w:val="32"/>
          <w:lang w:eastAsia="zh-CN"/>
        </w:rPr>
        <w:t>本市行政区内可能存在地下文物的国有建设用地，在实施</w:t>
      </w:r>
      <w:r>
        <w:rPr>
          <w:rFonts w:hint="eastAsia" w:ascii="仿宋_GB2312" w:hAnsi="仿宋_GB2312" w:eastAsia="仿宋_GB2312" w:cs="仿宋_GB2312"/>
          <w:color w:val="auto"/>
          <w:sz w:val="32"/>
          <w:szCs w:val="32"/>
        </w:rPr>
        <w:t>土地</w:t>
      </w:r>
      <w:r>
        <w:rPr>
          <w:rFonts w:hint="eastAsia" w:ascii="仿宋_GB2312" w:hAnsi="仿宋_GB2312" w:eastAsia="仿宋_GB2312" w:cs="仿宋_GB2312"/>
          <w:color w:val="auto"/>
          <w:sz w:val="32"/>
          <w:szCs w:val="32"/>
          <w:lang w:eastAsia="zh-CN"/>
        </w:rPr>
        <w:t>供应</w:t>
      </w:r>
      <w:r>
        <w:rPr>
          <w:rFonts w:hint="eastAsia" w:ascii="仿宋_GB2312" w:hAnsi="仿宋_GB2312" w:eastAsia="仿宋_GB2312" w:cs="仿宋_GB2312"/>
          <w:color w:val="auto"/>
          <w:sz w:val="32"/>
          <w:szCs w:val="32"/>
        </w:rPr>
        <w:t>前，</w:t>
      </w:r>
      <w:r>
        <w:rPr>
          <w:rFonts w:hint="eastAsia" w:ascii="仿宋_GB2312" w:hAnsi="仿宋_GB2312" w:eastAsia="仿宋_GB2312" w:cs="仿宋_GB2312"/>
          <w:color w:val="auto"/>
          <w:sz w:val="32"/>
          <w:szCs w:val="32"/>
          <w:lang w:eastAsia="zh-CN"/>
        </w:rPr>
        <w:t>以及进行大型基本建设工程或者在文物保护单位的保护范围、建设控制地带内进行建设工程，</w:t>
      </w:r>
      <w:r>
        <w:rPr>
          <w:rFonts w:hint="eastAsia" w:ascii="仿宋_GB2312" w:hAnsi="仿宋_GB2312" w:eastAsia="仿宋_GB2312" w:cs="仿宋_GB2312"/>
          <w:color w:val="auto"/>
          <w:sz w:val="32"/>
          <w:szCs w:val="32"/>
        </w:rPr>
        <w:t>由文物行政部门组织开展考古调查、勘探、发掘，查清地下文物遗存情况，并将考古成果、文物保护要求</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审查意见，作为</w:t>
      </w:r>
      <w:r>
        <w:rPr>
          <w:rFonts w:hint="eastAsia" w:ascii="仿宋_GB2312" w:hAnsi="仿宋_GB2312" w:eastAsia="仿宋_GB2312" w:cs="仿宋_GB2312"/>
          <w:color w:val="auto"/>
          <w:sz w:val="32"/>
          <w:szCs w:val="32"/>
          <w:lang w:eastAsia="zh-CN"/>
        </w:rPr>
        <w:t>国有</w:t>
      </w:r>
      <w:r>
        <w:rPr>
          <w:rFonts w:hint="eastAsia" w:ascii="仿宋_GB2312" w:hAnsi="仿宋_GB2312" w:eastAsia="仿宋_GB2312" w:cs="仿宋_GB2312"/>
          <w:color w:val="auto"/>
          <w:sz w:val="32"/>
          <w:szCs w:val="32"/>
        </w:rPr>
        <w:t>土地</w:t>
      </w:r>
      <w:r>
        <w:rPr>
          <w:rFonts w:hint="eastAsia" w:ascii="仿宋_GB2312" w:hAnsi="仿宋_GB2312" w:eastAsia="仿宋_GB2312" w:cs="仿宋_GB2312"/>
          <w:color w:val="auto"/>
          <w:sz w:val="32"/>
          <w:szCs w:val="32"/>
          <w:lang w:eastAsia="zh-CN"/>
        </w:rPr>
        <w:t>供应和项目审批</w:t>
      </w:r>
      <w:r>
        <w:rPr>
          <w:rFonts w:hint="eastAsia" w:ascii="仿宋_GB2312" w:hAnsi="仿宋_GB2312" w:eastAsia="仿宋_GB2312" w:cs="仿宋_GB2312"/>
          <w:color w:val="auto"/>
          <w:sz w:val="32"/>
          <w:szCs w:val="32"/>
        </w:rPr>
        <w:t>的前置条件</w:t>
      </w:r>
      <w:r>
        <w:rPr>
          <w:rFonts w:hint="eastAsia" w:ascii="仿宋_GB2312" w:hAnsi="仿宋_GB2312" w:eastAsia="仿宋_GB2312" w:cs="仿宋_GB2312"/>
          <w:color w:val="auto"/>
          <w:sz w:val="32"/>
          <w:szCs w:val="32"/>
          <w:lang w:eastAsia="zh-CN"/>
        </w:rPr>
        <w:t>。</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第三条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工作原则:坚持“保护为主、抢救第一、合理利用、加强管理”的文物工作方针</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坚持政府主导、部门协同、市级统筹、属地</w:t>
      </w:r>
      <w:r>
        <w:rPr>
          <w:rFonts w:hint="eastAsia" w:ascii="仿宋_GB2312" w:hAnsi="仿宋_GB2312" w:eastAsia="仿宋_GB2312" w:cs="仿宋_GB2312"/>
          <w:color w:val="auto"/>
          <w:sz w:val="32"/>
          <w:szCs w:val="32"/>
          <w:lang w:eastAsia="zh-CN"/>
        </w:rPr>
        <w:t>（园区）管理</w:t>
      </w:r>
      <w:r>
        <w:rPr>
          <w:rFonts w:hint="eastAsia" w:ascii="仿宋_GB2312" w:hAnsi="仿宋_GB2312" w:eastAsia="仿宋_GB2312" w:cs="仿宋_GB2312"/>
          <w:color w:val="auto"/>
          <w:sz w:val="32"/>
          <w:szCs w:val="32"/>
        </w:rPr>
        <w:t>;坚持</w:t>
      </w:r>
      <w:r>
        <w:rPr>
          <w:rFonts w:hint="eastAsia" w:ascii="仿宋_GB2312" w:hAnsi="仿宋_GB2312" w:eastAsia="仿宋_GB2312" w:cs="仿宋_GB2312"/>
          <w:color w:val="auto"/>
          <w:sz w:val="32"/>
          <w:szCs w:val="32"/>
          <w:lang w:eastAsia="zh-CN"/>
        </w:rPr>
        <w:t>分类管控，便民利民，统筹好文物保护与城乡建设协调发展</w:t>
      </w:r>
      <w:r>
        <w:rPr>
          <w:rFonts w:hint="eastAsia" w:ascii="仿宋_GB2312" w:hAnsi="仿宋_GB2312" w:eastAsia="仿宋_GB2312" w:cs="仿宋_GB2312"/>
          <w:color w:val="auto"/>
          <w:sz w:val="32"/>
          <w:szCs w:val="32"/>
        </w:rPr>
        <w:t>。</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2"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第二章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适用范围</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 xml:space="preserve">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具备考古前置工作条件的</w:t>
      </w:r>
      <w:r>
        <w:rPr>
          <w:rFonts w:hint="eastAsia" w:ascii="仿宋_GB2312" w:hAnsi="仿宋_GB2312" w:eastAsia="仿宋_GB2312" w:cs="仿宋_GB2312"/>
          <w:color w:val="auto"/>
          <w:sz w:val="32"/>
          <w:szCs w:val="32"/>
          <w:lang w:eastAsia="zh-CN"/>
        </w:rPr>
        <w:t>地块</w:t>
      </w:r>
      <w:r>
        <w:rPr>
          <w:rFonts w:hint="eastAsia" w:ascii="仿宋_GB2312" w:hAnsi="仿宋_GB2312" w:eastAsia="仿宋_GB2312" w:cs="仿宋_GB2312"/>
          <w:color w:val="auto"/>
          <w:sz w:val="32"/>
          <w:szCs w:val="32"/>
        </w:rPr>
        <w:t>，原则上在土地收储入库前完成考古</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rPr>
        <w:t>；暂不具备考古前置</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rPr>
        <w:t>条件</w:t>
      </w:r>
      <w:r>
        <w:rPr>
          <w:rFonts w:hint="eastAsia" w:ascii="仿宋_GB2312" w:hAnsi="仿宋_GB2312" w:eastAsia="仿宋_GB2312" w:cs="仿宋_GB2312"/>
          <w:color w:val="auto"/>
          <w:sz w:val="32"/>
          <w:szCs w:val="32"/>
          <w:lang w:eastAsia="zh-CN"/>
        </w:rPr>
        <w:t>的土</w:t>
      </w: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lang w:eastAsia="zh-CN"/>
        </w:rPr>
        <w:t>应</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eastAsia="zh-CN"/>
        </w:rPr>
        <w:t>土地供应前</w:t>
      </w:r>
      <w:r>
        <w:rPr>
          <w:rFonts w:hint="eastAsia" w:ascii="仿宋_GB2312" w:hAnsi="仿宋_GB2312" w:eastAsia="仿宋_GB2312" w:cs="仿宋_GB2312"/>
          <w:color w:val="auto"/>
          <w:sz w:val="32"/>
          <w:szCs w:val="32"/>
        </w:rPr>
        <w:t>完成考古</w:t>
      </w:r>
      <w:r>
        <w:rPr>
          <w:rFonts w:hint="eastAsia" w:ascii="仿宋_GB2312" w:hAnsi="仿宋_GB2312" w:eastAsia="仿宋_GB2312" w:cs="仿宋_GB2312"/>
          <w:color w:val="auto"/>
          <w:sz w:val="32"/>
          <w:szCs w:val="32"/>
          <w:lang w:eastAsia="zh-CN"/>
        </w:rPr>
        <w:t>调查勘探工作</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如在供地阶段发现重要地下遗存需要开展考古发掘的，</w:t>
      </w:r>
      <w:r>
        <w:rPr>
          <w:rFonts w:hint="eastAsia" w:ascii="仿宋_GB2312" w:hAnsi="仿宋_GB2312" w:eastAsia="仿宋_GB2312" w:cs="仿宋_GB2312"/>
          <w:color w:val="000000"/>
          <w:sz w:val="32"/>
          <w:szCs w:val="32"/>
          <w:lang w:eastAsia="zh-CN"/>
        </w:rPr>
        <w:t>土地</w:t>
      </w:r>
      <w:r>
        <w:rPr>
          <w:rFonts w:hint="eastAsia" w:ascii="仿宋_GB2312" w:hAnsi="仿宋_GB2312" w:eastAsia="仿宋_GB2312" w:cs="仿宋_GB2312"/>
          <w:color w:val="000000"/>
          <w:sz w:val="32"/>
          <w:szCs w:val="32"/>
        </w:rPr>
        <w:t>储备机构可</w:t>
      </w:r>
      <w:r>
        <w:rPr>
          <w:rFonts w:hint="eastAsia" w:ascii="仿宋_GB2312" w:hAnsi="仿宋_GB2312" w:eastAsia="仿宋_GB2312" w:cs="仿宋_GB2312"/>
          <w:color w:val="auto"/>
          <w:sz w:val="32"/>
          <w:szCs w:val="32"/>
          <w:lang w:eastAsia="zh-CN"/>
        </w:rPr>
        <w:t>按相关规定处理</w:t>
      </w:r>
      <w:r>
        <w:rPr>
          <w:rFonts w:hint="eastAsia" w:ascii="仿宋_GB2312" w:hAnsi="仿宋_GB2312" w:eastAsia="仿宋_GB2312" w:cs="仿宋_GB2312"/>
          <w:color w:val="auto"/>
          <w:sz w:val="32"/>
          <w:szCs w:val="32"/>
        </w:rPr>
        <w:t>，待</w:t>
      </w:r>
      <w:r>
        <w:rPr>
          <w:rFonts w:hint="eastAsia" w:ascii="仿宋_GB2312" w:hAnsi="仿宋_GB2312" w:eastAsia="仿宋_GB2312" w:cs="仿宋_GB2312"/>
          <w:color w:val="auto"/>
          <w:sz w:val="32"/>
          <w:szCs w:val="32"/>
          <w:lang w:eastAsia="zh-CN"/>
        </w:rPr>
        <w:t>考古发掘工作完成后再依规供应土地。</w:t>
      </w:r>
    </w:p>
    <w:p>
      <w:pPr>
        <w:pStyle w:val="29"/>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第五条  </w:t>
      </w:r>
      <w:r>
        <w:rPr>
          <w:rFonts w:hint="eastAsia" w:ascii="仿宋_GB2312" w:hAnsi="仿宋_GB2312" w:eastAsia="仿宋_GB2312" w:cs="仿宋_GB2312"/>
          <w:color w:val="auto"/>
          <w:sz w:val="32"/>
          <w:szCs w:val="32"/>
        </w:rPr>
        <w:t>符合下列情形之一的地块，</w:t>
      </w:r>
      <w:r>
        <w:rPr>
          <w:rFonts w:hint="eastAsia" w:ascii="仿宋_GB2312" w:hAnsi="仿宋_GB2312" w:eastAsia="仿宋_GB2312" w:cs="仿宋_GB2312"/>
          <w:color w:val="auto"/>
          <w:sz w:val="32"/>
          <w:szCs w:val="32"/>
          <w:lang w:eastAsia="zh-CN"/>
        </w:rPr>
        <w:t>无</w:t>
      </w:r>
      <w:r>
        <w:rPr>
          <w:rFonts w:hint="eastAsia" w:ascii="仿宋_GB2312" w:hAnsi="仿宋_GB2312" w:eastAsia="仿宋_GB2312" w:cs="仿宋_GB2312"/>
          <w:color w:val="auto"/>
          <w:sz w:val="32"/>
          <w:szCs w:val="32"/>
        </w:rPr>
        <w:t>需开展考古工作：</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（一）已完成文物保护区域评估，且地块范围、用地边界未发生调整变化的；</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（二）已</w:t>
      </w:r>
      <w:r>
        <w:rPr>
          <w:rFonts w:hint="eastAsia" w:ascii="仿宋_GB2312" w:hAnsi="仿宋_GB2312" w:eastAsia="仿宋_GB2312" w:cs="仿宋_GB2312"/>
          <w:color w:val="auto"/>
          <w:sz w:val="32"/>
          <w:szCs w:val="32"/>
          <w:lang w:eastAsia="zh-CN"/>
        </w:rPr>
        <w:t>完成</w:t>
      </w:r>
      <w:r>
        <w:rPr>
          <w:rFonts w:hint="eastAsia" w:ascii="仿宋_GB2312" w:hAnsi="仿宋_GB2312" w:eastAsia="仿宋_GB2312" w:cs="仿宋_GB2312"/>
          <w:color w:val="auto"/>
          <w:sz w:val="32"/>
          <w:szCs w:val="32"/>
        </w:rPr>
        <w:t>考古工作，经文物行政部</w:t>
      </w:r>
      <w:r>
        <w:rPr>
          <w:rFonts w:hint="eastAsia" w:ascii="仿宋_GB2312" w:hAnsi="仿宋_GB2312" w:eastAsia="仿宋_GB2312" w:cs="仿宋_GB2312"/>
          <w:color w:val="auto"/>
          <w:sz w:val="32"/>
          <w:szCs w:val="32"/>
          <w:lang w:eastAsia="zh-CN"/>
        </w:rPr>
        <w:t>门</w:t>
      </w:r>
      <w:r>
        <w:rPr>
          <w:rFonts w:hint="eastAsia" w:ascii="仿宋_GB2312" w:hAnsi="仿宋_GB2312" w:eastAsia="仿宋_GB2312" w:cs="仿宋_GB2312"/>
          <w:color w:val="auto"/>
          <w:sz w:val="32"/>
          <w:szCs w:val="32"/>
        </w:rPr>
        <w:t>认定无地下文物遗存、</w:t>
      </w:r>
      <w:r>
        <w:rPr>
          <w:rFonts w:hint="eastAsia" w:ascii="仿宋_GB2312" w:hAnsi="仿宋_GB2312" w:eastAsia="仿宋_GB2312" w:cs="仿宋_GB2312"/>
          <w:color w:val="auto"/>
          <w:sz w:val="32"/>
          <w:szCs w:val="32"/>
          <w:lang w:eastAsia="zh-CN"/>
        </w:rPr>
        <w:t>无</w:t>
      </w:r>
      <w:r>
        <w:rPr>
          <w:rFonts w:hint="eastAsia" w:ascii="仿宋_GB2312" w:hAnsi="仿宋_GB2312" w:eastAsia="仿宋_GB2312" w:cs="仿宋_GB2312"/>
          <w:color w:val="auto"/>
          <w:sz w:val="32"/>
          <w:szCs w:val="32"/>
        </w:rPr>
        <w:t>文物原址保护管控要求的；</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（三）已完成考古工作的存量地块再次纳入土地收储，地块红线范围未扩大、开挖深度无增加，无需补充考古作业的；</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（四）无</w:t>
      </w:r>
      <w:r>
        <w:rPr>
          <w:rFonts w:hint="eastAsia" w:ascii="仿宋_GB2312" w:hAnsi="仿宋_GB2312" w:eastAsia="仿宋_GB2312" w:cs="仿宋_GB2312"/>
          <w:color w:val="auto"/>
          <w:sz w:val="32"/>
          <w:szCs w:val="32"/>
          <w:lang w:eastAsia="zh-CN"/>
        </w:rPr>
        <w:t>需</w:t>
      </w:r>
      <w:r>
        <w:rPr>
          <w:rFonts w:hint="eastAsia" w:ascii="仿宋_GB2312" w:hAnsi="仿宋_GB2312" w:eastAsia="仿宋_GB2312" w:cs="仿宋_GB2312"/>
          <w:color w:val="auto"/>
          <w:sz w:val="32"/>
          <w:szCs w:val="32"/>
        </w:rPr>
        <w:t>开挖地下土层的绿地、市政公园、城市主次道路</w:t>
      </w:r>
      <w:r>
        <w:rPr>
          <w:rFonts w:hint="eastAsia" w:ascii="仿宋_GB2312" w:hAnsi="仿宋_GB2312" w:eastAsia="仿宋_GB2312" w:cs="仿宋_GB2312"/>
          <w:color w:val="auto"/>
          <w:sz w:val="32"/>
          <w:szCs w:val="32"/>
          <w:lang w:eastAsia="zh-CN"/>
        </w:rPr>
        <w:t>以及土地</w:t>
      </w:r>
      <w:r>
        <w:rPr>
          <w:rFonts w:hint="eastAsia" w:ascii="仿宋_GB2312" w:hAnsi="仿宋_GB2312" w:eastAsia="仿宋_GB2312" w:cs="仿宋_GB2312"/>
          <w:color w:val="auto"/>
          <w:sz w:val="32"/>
          <w:szCs w:val="32"/>
          <w:lang w:val="en-US" w:eastAsia="zh-CN"/>
        </w:rPr>
        <w:t>1.5级开发项目等</w:t>
      </w:r>
      <w:r>
        <w:rPr>
          <w:rFonts w:hint="eastAsia" w:ascii="仿宋_GB2312" w:hAnsi="仿宋_GB2312" w:eastAsia="仿宋_GB2312" w:cs="仿宋_GB2312"/>
          <w:color w:val="auto"/>
          <w:sz w:val="32"/>
          <w:szCs w:val="32"/>
        </w:rPr>
        <w:t>用地；</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（五）对</w:t>
      </w:r>
      <w:r>
        <w:rPr>
          <w:rFonts w:hint="eastAsia" w:ascii="仿宋_GB2312" w:hAnsi="仿宋_GB2312" w:eastAsia="仿宋_GB2312" w:cs="仿宋_GB2312"/>
          <w:color w:val="auto"/>
          <w:sz w:val="32"/>
          <w:szCs w:val="32"/>
        </w:rPr>
        <w:t>既有道路、广场、地下管线、车库、人防</w:t>
      </w:r>
      <w:r>
        <w:rPr>
          <w:rFonts w:hint="eastAsia" w:ascii="仿宋_GB2312" w:hAnsi="仿宋_GB2312" w:eastAsia="仿宋_GB2312" w:cs="仿宋_GB2312"/>
          <w:color w:val="auto"/>
          <w:sz w:val="32"/>
          <w:szCs w:val="32"/>
          <w:lang w:eastAsia="zh-CN"/>
        </w:rPr>
        <w:t>工程等进行</w:t>
      </w:r>
      <w:r>
        <w:rPr>
          <w:rFonts w:hint="eastAsia" w:ascii="仿宋_GB2312" w:hAnsi="仿宋_GB2312" w:eastAsia="仿宋_GB2312" w:cs="仿宋_GB2312"/>
          <w:color w:val="auto"/>
          <w:sz w:val="32"/>
          <w:szCs w:val="32"/>
        </w:rPr>
        <w:t>改造，施工不超过原有区域及挖掘深度的；</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）已有建筑物、构筑物补办用地手续的;</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七</w:t>
      </w:r>
      <w:r>
        <w:rPr>
          <w:rFonts w:hint="eastAsia" w:ascii="仿宋_GB2312" w:hAnsi="仿宋_GB2312" w:eastAsia="仿宋_GB2312" w:cs="仿宋_GB2312"/>
          <w:color w:val="auto"/>
          <w:sz w:val="32"/>
          <w:szCs w:val="32"/>
        </w:rPr>
        <w:t>）进行不涉及地下开挖的维护性工程(如地面养护、设备更换等)；</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八</w:t>
      </w:r>
      <w:r>
        <w:rPr>
          <w:rFonts w:hint="eastAsia" w:ascii="仿宋_GB2312" w:hAnsi="仿宋_GB2312" w:eastAsia="仿宋_GB2312" w:cs="仿宋_GB2312"/>
          <w:color w:val="auto"/>
          <w:sz w:val="32"/>
          <w:szCs w:val="32"/>
        </w:rPr>
        <w:t>）其他经核定</w:t>
      </w:r>
      <w:r>
        <w:rPr>
          <w:rFonts w:hint="eastAsia" w:ascii="仿宋_GB2312" w:hAnsi="仿宋_GB2312" w:eastAsia="仿宋_GB2312" w:cs="仿宋_GB2312"/>
          <w:color w:val="auto"/>
          <w:sz w:val="32"/>
          <w:szCs w:val="32"/>
          <w:lang w:eastAsia="zh-CN"/>
        </w:rPr>
        <w:t>无需开展考古前置</w:t>
      </w:r>
      <w:r>
        <w:rPr>
          <w:rFonts w:hint="eastAsia" w:ascii="仿宋_GB2312" w:hAnsi="仿宋_GB2312" w:eastAsia="仿宋_GB2312" w:cs="仿宋_GB2312"/>
          <w:color w:val="auto"/>
          <w:sz w:val="32"/>
          <w:szCs w:val="32"/>
        </w:rPr>
        <w:t>的地块。</w:t>
      </w:r>
    </w:p>
    <w:p>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符合前款情形的地块，施工过程中如发现地下文物遗存，建设单位应当立即停工并报告文物行政部门。</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2"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第三章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工作程序</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市自然资源和规划局编制年度土地储备计划、国有建设用地供应计划，应当</w:t>
      </w:r>
      <w:r>
        <w:rPr>
          <w:rFonts w:hint="eastAsia" w:ascii="仿宋_GB2312" w:hAnsi="仿宋_GB2312" w:eastAsia="仿宋_GB2312" w:cs="仿宋_GB2312"/>
          <w:color w:val="auto"/>
          <w:sz w:val="32"/>
          <w:szCs w:val="32"/>
          <w:lang w:eastAsia="zh-CN"/>
        </w:rPr>
        <w:t>载明</w:t>
      </w:r>
      <w:r>
        <w:rPr>
          <w:rFonts w:hint="eastAsia" w:ascii="仿宋_GB2312" w:hAnsi="仿宋_GB2312" w:eastAsia="仿宋_GB2312" w:cs="仿宋_GB2312"/>
          <w:color w:val="auto"/>
          <w:sz w:val="32"/>
          <w:szCs w:val="32"/>
        </w:rPr>
        <w:t>地块位置、红线范围、用地面积、规划用途、拟供应时序</w:t>
      </w:r>
      <w:r>
        <w:rPr>
          <w:rFonts w:hint="eastAsia" w:ascii="仿宋_GB2312" w:hAnsi="仿宋_GB2312" w:eastAsia="仿宋_GB2312" w:cs="仿宋_GB2312"/>
          <w:color w:val="auto"/>
          <w:sz w:val="32"/>
          <w:szCs w:val="32"/>
          <w:lang w:eastAsia="zh-CN"/>
        </w:rPr>
        <w:t>等内容。前述计划</w:t>
      </w:r>
      <w:r>
        <w:rPr>
          <w:rFonts w:hint="eastAsia" w:ascii="仿宋_GB2312" w:hAnsi="仿宋_GB2312" w:eastAsia="仿宋_GB2312" w:cs="仿宋_GB2312"/>
          <w:color w:val="auto"/>
          <w:sz w:val="32"/>
          <w:szCs w:val="32"/>
        </w:rPr>
        <w:t>编制阶段</w:t>
      </w:r>
      <w:r>
        <w:rPr>
          <w:rFonts w:hint="eastAsia" w:ascii="仿宋_GB2312" w:hAnsi="仿宋_GB2312" w:eastAsia="仿宋_GB2312" w:cs="仿宋_GB2312"/>
          <w:color w:val="auto"/>
          <w:sz w:val="32"/>
          <w:szCs w:val="32"/>
          <w:lang w:eastAsia="zh-CN"/>
        </w:rPr>
        <w:t>应当</w:t>
      </w:r>
      <w:r>
        <w:rPr>
          <w:rFonts w:hint="eastAsia" w:ascii="仿宋_GB2312" w:hAnsi="仿宋_GB2312" w:eastAsia="仿宋_GB2312" w:cs="仿宋_GB2312"/>
          <w:color w:val="auto"/>
          <w:sz w:val="32"/>
          <w:szCs w:val="32"/>
        </w:rPr>
        <w:t>书面征求</w:t>
      </w:r>
      <w:r>
        <w:rPr>
          <w:rFonts w:hint="eastAsia" w:ascii="仿宋_GB2312" w:hAnsi="仿宋_GB2312" w:eastAsia="仿宋_GB2312" w:cs="仿宋_GB2312"/>
          <w:color w:val="auto"/>
          <w:sz w:val="32"/>
          <w:szCs w:val="32"/>
          <w:lang w:eastAsia="zh-CN"/>
        </w:rPr>
        <w:t>市文物行政部门</w:t>
      </w:r>
      <w:r>
        <w:rPr>
          <w:rFonts w:hint="eastAsia" w:ascii="仿宋_GB2312" w:hAnsi="仿宋_GB2312" w:eastAsia="仿宋_GB2312" w:cs="仿宋_GB2312"/>
          <w:color w:val="auto"/>
          <w:sz w:val="32"/>
          <w:szCs w:val="32"/>
        </w:rPr>
        <w:t>意见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经市人民政府批准后抄送市文物</w:t>
      </w:r>
      <w:r>
        <w:rPr>
          <w:rFonts w:hint="eastAsia" w:ascii="仿宋_GB2312" w:hAnsi="仿宋_GB2312" w:eastAsia="仿宋_GB2312" w:cs="仿宋_GB2312"/>
          <w:color w:val="auto"/>
          <w:sz w:val="32"/>
          <w:szCs w:val="32"/>
          <w:lang w:eastAsia="zh-CN"/>
        </w:rPr>
        <w:t>行政</w:t>
      </w:r>
      <w:r>
        <w:rPr>
          <w:rFonts w:hint="eastAsia" w:ascii="仿宋_GB2312" w:hAnsi="仿宋_GB2312" w:eastAsia="仿宋_GB2312" w:cs="仿宋_GB2312"/>
          <w:color w:val="auto"/>
          <w:sz w:val="32"/>
          <w:szCs w:val="32"/>
        </w:rPr>
        <w:t>部门统筹开展考古前置工作。市文物行政部门应将需要或无需开展考古工作的地块信息函告同级发改、资规、住建</w:t>
      </w:r>
      <w:r>
        <w:rPr>
          <w:rFonts w:hint="eastAsia" w:ascii="仿宋_GB2312" w:hAnsi="仿宋_GB2312" w:eastAsia="仿宋_GB2312" w:cs="仿宋_GB2312"/>
          <w:color w:val="auto"/>
          <w:sz w:val="32"/>
          <w:szCs w:val="32"/>
          <w:lang w:eastAsia="zh-CN"/>
        </w:rPr>
        <w:t>以及</w:t>
      </w:r>
      <w:r>
        <w:rPr>
          <w:rFonts w:hint="eastAsia" w:ascii="仿宋_GB2312" w:hAnsi="仿宋_GB2312" w:eastAsia="仿宋_GB2312" w:cs="仿宋_GB2312"/>
          <w:color w:val="auto"/>
          <w:sz w:val="32"/>
          <w:szCs w:val="32"/>
        </w:rPr>
        <w:t>各区</w:t>
      </w:r>
      <w:r>
        <w:rPr>
          <w:rFonts w:hint="eastAsia" w:ascii="仿宋_GB2312" w:hAnsi="仿宋_GB2312" w:eastAsia="仿宋_GB2312" w:cs="仿宋_GB2312"/>
          <w:color w:val="auto"/>
          <w:sz w:val="32"/>
          <w:szCs w:val="32"/>
          <w:lang w:eastAsia="zh-CN"/>
        </w:rPr>
        <w:t>政府</w:t>
      </w:r>
      <w:r>
        <w:rPr>
          <w:rFonts w:hint="eastAsia" w:ascii="仿宋_GB2312" w:hAnsi="仿宋_GB2312" w:eastAsia="仿宋_GB2312" w:cs="仿宋_GB2312"/>
          <w:color w:val="auto"/>
          <w:sz w:val="32"/>
          <w:szCs w:val="32"/>
        </w:rPr>
        <w:t>、各重点园</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w:t>
      </w:r>
    </w:p>
    <w:p>
      <w:pPr>
        <w:pStyle w:val="29"/>
        <w:widowControl w:val="0"/>
        <w:numPr>
          <w:ilvl w:val="0"/>
          <w:numId w:val="0"/>
        </w:numPr>
        <w:adjustRightInd w:val="0"/>
        <w:snapToGrid w:val="0"/>
        <w:spacing w:before="0" w:after="0" w:line="556" w:lineRule="exact"/>
        <w:ind w:firstLine="640" w:firstLineChars="200"/>
        <w:jc w:val="both"/>
        <w:rPr>
          <w:rFonts w:hint="eastAsia" w:ascii="仿宋_GB2312" w:hAnsi="仿宋_GB2312" w:eastAsia="仿宋_GB2312" w:cs="仿宋_GB2312"/>
          <w:i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eastAsia="zh-CN"/>
        </w:rPr>
        <w:t>七</w:t>
      </w:r>
      <w:r>
        <w:rPr>
          <w:rFonts w:hint="eastAsia" w:ascii="仿宋_GB2312" w:hAnsi="仿宋_GB2312" w:eastAsia="仿宋_GB2312" w:cs="仿宋_GB2312"/>
          <w:color w:val="auto"/>
          <w:sz w:val="32"/>
          <w:szCs w:val="32"/>
        </w:rPr>
        <w:t xml:space="preserve">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本规程实施后，以出让方式供应的土地由市资规部门向市文物行政部门提出考古申请；以划拨方式供应的土地，由项目建设单位向市文物行政部门提出考古申请。</w:t>
      </w:r>
    </w:p>
    <w:p>
      <w:pPr>
        <w:keepNext w:val="0"/>
        <w:keepLines w:val="0"/>
        <w:pageBreakBefore w:val="0"/>
        <w:widowControl w:val="0"/>
        <w:kinsoku/>
        <w:wordWrap/>
        <w:overflowPunct/>
        <w:topLinePunct w:val="0"/>
        <w:autoSpaceDE/>
        <w:autoSpaceDN/>
        <w:bidi w:val="0"/>
        <w:adjustRightInd w:val="0"/>
        <w:snapToGrid w:val="0"/>
        <w:spacing w:after="0" w:line="556" w:lineRule="exact"/>
        <w:ind w:firstLine="640" w:firstLineChars="200"/>
        <w:jc w:val="left"/>
        <w:textAlignment w:val="auto"/>
        <w:rPr>
          <w:rFonts w:hint="eastAsia" w:ascii="仿宋_GB2312" w:hAnsi="仿宋_GB2312" w:eastAsia="仿宋_GB2312" w:cs="仿宋_GB2312"/>
          <w:i w:val="0"/>
          <w:caps w:val="0"/>
          <w:color w:val="171A1D"/>
          <w:spacing w:val="0"/>
          <w:kern w:val="0"/>
          <w:sz w:val="32"/>
          <w:szCs w:val="32"/>
          <w:shd w:val="clear" w:color="auto" w:fill="auto"/>
          <w:lang w:val="en-US" w:eastAsia="zh-CN" w:bidi="ar"/>
        </w:rPr>
      </w:pPr>
      <w:r>
        <w:rPr>
          <w:rFonts w:hint="eastAsia" w:ascii="仿宋_GB2312" w:hAnsi="仿宋_GB2312" w:eastAsia="仿宋_GB2312" w:cs="仿宋_GB2312"/>
          <w:i w:val="0"/>
          <w:caps w:val="0"/>
          <w:color w:val="171A1D"/>
          <w:spacing w:val="0"/>
          <w:kern w:val="0"/>
          <w:sz w:val="32"/>
          <w:szCs w:val="32"/>
          <w:shd w:val="clear" w:color="auto" w:fill="auto"/>
          <w:lang w:val="en-US" w:eastAsia="zh-CN" w:bidi="ar"/>
        </w:rPr>
        <w:t>进行占地三</w:t>
      </w:r>
      <w:bookmarkStart w:id="1" w:name="_GoBack"/>
      <w:bookmarkEnd w:id="1"/>
      <w:r>
        <w:rPr>
          <w:rFonts w:hint="eastAsia" w:ascii="仿宋_GB2312" w:hAnsi="仿宋_GB2312" w:eastAsia="仿宋_GB2312" w:cs="仿宋_GB2312"/>
          <w:i w:val="0"/>
          <w:caps w:val="0"/>
          <w:color w:val="171A1D"/>
          <w:spacing w:val="0"/>
          <w:kern w:val="0"/>
          <w:sz w:val="32"/>
          <w:szCs w:val="32"/>
          <w:shd w:val="clear" w:color="auto" w:fill="auto"/>
          <w:lang w:val="en-US" w:eastAsia="zh-CN" w:bidi="ar"/>
        </w:rPr>
        <w:t>万平方米及以上的大型基本建设工程，或者在文物保护单位保护范围、建设控制地带内进行建设工程，未依照前款进行考古调查、勘探的，建设单位应当事先</w:t>
      </w:r>
      <w:r>
        <w:rPr>
          <w:rFonts w:hint="eastAsia" w:ascii="仿宋_GB2312" w:hAnsi="仿宋_GB2312" w:eastAsia="仿宋_GB2312" w:cs="仿宋_GB2312"/>
          <w:color w:val="auto"/>
          <w:sz w:val="32"/>
          <w:szCs w:val="32"/>
          <w:lang w:eastAsia="zh-CN"/>
        </w:rPr>
        <w:t>向市文物行政部门提交考古申请</w:t>
      </w:r>
      <w:r>
        <w:rPr>
          <w:rFonts w:hint="eastAsia" w:ascii="仿宋_GB2312" w:hAnsi="仿宋_GB2312" w:eastAsia="仿宋_GB2312" w:cs="仿宋_GB2312"/>
          <w:i w:val="0"/>
          <w:caps w:val="0"/>
          <w:color w:val="171A1D"/>
          <w:spacing w:val="0"/>
          <w:kern w:val="0"/>
          <w:sz w:val="32"/>
          <w:szCs w:val="32"/>
          <w:shd w:val="clear" w:color="auto" w:fill="auto"/>
          <w:lang w:val="en-US" w:eastAsia="zh-CN" w:bidi="ar"/>
        </w:rPr>
        <w:t>。</w:t>
      </w:r>
    </w:p>
    <w:p>
      <w:pPr>
        <w:keepNext w:val="0"/>
        <w:keepLines w:val="0"/>
        <w:pageBreakBefore w:val="0"/>
        <w:widowControl w:val="0"/>
        <w:numPr>
          <w:ilvl w:val="-1"/>
          <w:numId w:val="0"/>
        </w:numPr>
        <w:kinsoku/>
        <w:wordWrap/>
        <w:overflowPunct/>
        <w:topLinePunct w:val="0"/>
        <w:autoSpaceDE/>
        <w:autoSpaceDN/>
        <w:bidi w:val="0"/>
        <w:adjustRightInd w:val="0"/>
        <w:snapToGrid w:val="0"/>
        <w:spacing w:after="0" w:line="556"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第八条</w:t>
      </w:r>
      <w:r>
        <w:rPr>
          <w:rFonts w:hint="eastAsia" w:ascii="仿宋_GB2312" w:hAnsi="仿宋_GB2312" w:eastAsia="仿宋_GB2312" w:cs="仿宋_GB2312"/>
          <w:color w:val="0000FF"/>
          <w:sz w:val="32"/>
          <w:szCs w:val="32"/>
          <w:lang w:val="en-US" w:eastAsia="zh-CN"/>
        </w:rPr>
        <w:t xml:space="preserve">  </w:t>
      </w:r>
      <w:r>
        <w:rPr>
          <w:rFonts w:hint="eastAsia" w:ascii="仿宋_GB2312" w:hAnsi="仿宋_GB2312" w:eastAsia="仿宋_GB2312" w:cs="仿宋_GB2312"/>
          <w:color w:val="auto"/>
          <w:sz w:val="32"/>
          <w:szCs w:val="32"/>
          <w:lang w:val="en-US" w:eastAsia="zh-CN"/>
        </w:rPr>
        <w:t>市资规部门向市文物行政部门提出考古申请后，</w:t>
      </w:r>
      <w:r>
        <w:rPr>
          <w:rFonts w:hint="eastAsia" w:ascii="仿宋_GB2312" w:hAnsi="仿宋_GB2312" w:eastAsia="仿宋_GB2312" w:cs="仿宋_GB2312"/>
          <w:color w:val="auto"/>
          <w:sz w:val="32"/>
          <w:szCs w:val="32"/>
        </w:rPr>
        <w:t>市文物</w:t>
      </w:r>
      <w:r>
        <w:rPr>
          <w:rFonts w:hint="eastAsia" w:ascii="仿宋_GB2312" w:hAnsi="仿宋_GB2312" w:eastAsia="仿宋_GB2312" w:cs="仿宋_GB2312"/>
          <w:color w:val="auto"/>
          <w:sz w:val="32"/>
          <w:szCs w:val="32"/>
          <w:lang w:eastAsia="zh-CN"/>
        </w:rPr>
        <w:t>行政</w:t>
      </w:r>
      <w:r>
        <w:rPr>
          <w:rFonts w:hint="eastAsia" w:ascii="仿宋_GB2312" w:hAnsi="仿宋_GB2312" w:eastAsia="仿宋_GB2312" w:cs="仿宋_GB2312"/>
          <w:color w:val="auto"/>
          <w:sz w:val="32"/>
          <w:szCs w:val="32"/>
        </w:rPr>
        <w:t>部门委托</w:t>
      </w:r>
      <w:r>
        <w:rPr>
          <w:rFonts w:hint="eastAsia" w:ascii="仿宋_GB2312" w:hAnsi="仿宋_GB2312" w:eastAsia="仿宋_GB2312" w:cs="仿宋_GB2312"/>
          <w:color w:val="auto"/>
          <w:sz w:val="32"/>
          <w:szCs w:val="32"/>
          <w:lang w:eastAsia="zh-CN"/>
        </w:rPr>
        <w:t>具备考古发掘资质的单位</w:t>
      </w:r>
      <w:r>
        <w:rPr>
          <w:rFonts w:hint="eastAsia" w:ascii="仿宋_GB2312" w:hAnsi="仿宋_GB2312" w:eastAsia="仿宋_GB2312" w:cs="仿宋_GB2312"/>
          <w:color w:val="auto"/>
          <w:sz w:val="32"/>
          <w:szCs w:val="32"/>
        </w:rPr>
        <w:t>开展</w:t>
      </w:r>
      <w:r>
        <w:rPr>
          <w:rFonts w:hint="eastAsia" w:ascii="仿宋_GB2312" w:hAnsi="仿宋_GB2312" w:eastAsia="仿宋_GB2312" w:cs="仿宋_GB2312"/>
          <w:color w:val="auto"/>
          <w:sz w:val="32"/>
          <w:szCs w:val="32"/>
          <w:lang w:eastAsia="zh-CN"/>
        </w:rPr>
        <w:t>相应地块的</w:t>
      </w:r>
      <w:r>
        <w:rPr>
          <w:rFonts w:hint="eastAsia" w:ascii="仿宋_GB2312" w:hAnsi="仿宋_GB2312" w:eastAsia="仿宋_GB2312" w:cs="仿宋_GB2312"/>
          <w:color w:val="auto"/>
          <w:sz w:val="32"/>
          <w:szCs w:val="32"/>
        </w:rPr>
        <w:t>考古</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lang w:val="en-US" w:eastAsia="zh-CN"/>
        </w:rPr>
        <w:t>三方签署协议。</w:t>
      </w:r>
      <w:r>
        <w:rPr>
          <w:rFonts w:hint="eastAsia" w:ascii="仿宋_GB2312" w:hAnsi="仿宋_GB2312" w:eastAsia="仿宋_GB2312" w:cs="仿宋_GB2312"/>
          <w:color w:val="auto"/>
          <w:sz w:val="32"/>
          <w:szCs w:val="32"/>
        </w:rPr>
        <w:t>考古调查、勘探所需经费列入市土地储备机构年度预算,纳入土地储备成本</w:t>
      </w:r>
      <w:r>
        <w:rPr>
          <w:rFonts w:hint="eastAsia" w:ascii="仿宋_GB2312" w:hAnsi="仿宋_GB2312" w:eastAsia="仿宋_GB2312" w:cs="仿宋_GB2312"/>
          <w:color w:val="auto"/>
          <w:sz w:val="32"/>
          <w:szCs w:val="32"/>
          <w:lang w:val="en-US" w:eastAsia="zh-CN"/>
        </w:rPr>
        <w:t>。</w:t>
      </w:r>
    </w:p>
    <w:p>
      <w:pPr>
        <w:pStyle w:val="29"/>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lang w:val="en-US" w:eastAsia="zh-CN"/>
        </w:rPr>
        <w:t>项目建设单位向市文物行政部门提出考古申请后，</w:t>
      </w:r>
      <w:r>
        <w:rPr>
          <w:rFonts w:hint="eastAsia" w:ascii="仿宋_GB2312" w:hAnsi="仿宋_GB2312" w:eastAsia="仿宋_GB2312" w:cs="仿宋_GB2312"/>
          <w:color w:val="auto"/>
          <w:sz w:val="32"/>
          <w:szCs w:val="32"/>
          <w:u w:val="none"/>
        </w:rPr>
        <w:t>市文物</w:t>
      </w:r>
      <w:r>
        <w:rPr>
          <w:rFonts w:hint="eastAsia" w:ascii="仿宋_GB2312" w:hAnsi="仿宋_GB2312" w:eastAsia="仿宋_GB2312" w:cs="仿宋_GB2312"/>
          <w:color w:val="auto"/>
          <w:sz w:val="32"/>
          <w:szCs w:val="32"/>
          <w:u w:val="none"/>
          <w:lang w:eastAsia="zh-CN"/>
        </w:rPr>
        <w:t>行政</w:t>
      </w:r>
      <w:r>
        <w:rPr>
          <w:rFonts w:hint="eastAsia" w:ascii="仿宋_GB2312" w:hAnsi="仿宋_GB2312" w:eastAsia="仿宋_GB2312" w:cs="仿宋_GB2312"/>
          <w:color w:val="auto"/>
          <w:sz w:val="32"/>
          <w:szCs w:val="32"/>
          <w:u w:val="none"/>
        </w:rPr>
        <w:t>部门</w:t>
      </w:r>
      <w:r>
        <w:rPr>
          <w:rFonts w:hint="eastAsia" w:ascii="仿宋_GB2312" w:hAnsi="仿宋_GB2312" w:eastAsia="仿宋_GB2312" w:cs="仿宋_GB2312"/>
          <w:color w:val="auto"/>
          <w:sz w:val="32"/>
          <w:szCs w:val="32"/>
          <w:u w:val="none"/>
          <w:lang w:eastAsia="zh-CN"/>
        </w:rPr>
        <w:t>对需要开展考古的情形委</w:t>
      </w:r>
      <w:r>
        <w:rPr>
          <w:rFonts w:hint="eastAsia" w:ascii="仿宋_GB2312" w:hAnsi="仿宋_GB2312" w:eastAsia="仿宋_GB2312" w:cs="仿宋_GB2312"/>
          <w:color w:val="auto"/>
          <w:sz w:val="32"/>
          <w:szCs w:val="32"/>
          <w:u w:val="none"/>
          <w:lang w:val="en-US" w:eastAsia="zh-CN"/>
        </w:rPr>
        <w:t>托</w:t>
      </w:r>
      <w:r>
        <w:rPr>
          <w:rFonts w:hint="eastAsia" w:ascii="仿宋_GB2312" w:hAnsi="仿宋_GB2312" w:eastAsia="仿宋_GB2312" w:cs="仿宋_GB2312"/>
          <w:color w:val="auto"/>
          <w:sz w:val="32"/>
          <w:szCs w:val="32"/>
          <w:u w:val="none"/>
          <w:lang w:eastAsia="zh-CN"/>
        </w:rPr>
        <w:t>具备</w:t>
      </w:r>
      <w:r>
        <w:rPr>
          <w:rFonts w:hint="eastAsia" w:ascii="仿宋_GB2312" w:hAnsi="仿宋_GB2312" w:eastAsia="仿宋_GB2312" w:cs="仿宋_GB2312"/>
          <w:color w:val="auto"/>
          <w:sz w:val="32"/>
          <w:szCs w:val="32"/>
        </w:rPr>
        <w:t>考古</w:t>
      </w:r>
      <w:r>
        <w:rPr>
          <w:rFonts w:hint="eastAsia" w:ascii="仿宋_GB2312" w:hAnsi="仿宋_GB2312" w:eastAsia="仿宋_GB2312" w:cs="仿宋_GB2312"/>
          <w:color w:val="auto"/>
          <w:sz w:val="32"/>
          <w:szCs w:val="32"/>
          <w:lang w:eastAsia="zh-CN"/>
        </w:rPr>
        <w:t>发掘</w:t>
      </w:r>
      <w:r>
        <w:rPr>
          <w:rFonts w:hint="eastAsia" w:ascii="仿宋_GB2312" w:hAnsi="仿宋_GB2312" w:eastAsia="仿宋_GB2312" w:cs="仿宋_GB2312"/>
          <w:color w:val="auto"/>
          <w:sz w:val="32"/>
          <w:szCs w:val="32"/>
        </w:rPr>
        <w:t>资质</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单位</w:t>
      </w:r>
      <w:r>
        <w:rPr>
          <w:rFonts w:hint="eastAsia" w:ascii="仿宋_GB2312" w:hAnsi="仿宋_GB2312" w:eastAsia="仿宋_GB2312" w:cs="仿宋_GB2312"/>
          <w:color w:val="auto"/>
          <w:sz w:val="32"/>
          <w:szCs w:val="32"/>
          <w:u w:val="none"/>
          <w:lang w:val="en-US" w:eastAsia="zh-CN"/>
        </w:rPr>
        <w:t>，由建设单位与考古机构签订协议。</w:t>
      </w:r>
      <w:r>
        <w:rPr>
          <w:rFonts w:hint="eastAsia" w:ascii="仿宋_GB2312" w:hAnsi="仿宋_GB2312" w:eastAsia="仿宋_GB2312" w:cs="仿宋_GB2312"/>
          <w:color w:val="auto"/>
          <w:sz w:val="32"/>
          <w:szCs w:val="32"/>
        </w:rPr>
        <w:t>考古调查、勘探所需经费纳入</w:t>
      </w:r>
      <w:r>
        <w:rPr>
          <w:rFonts w:hint="default" w:ascii="仿宋_GB2312" w:hAnsi="仿宋_GB2312" w:eastAsia="仿宋_GB2312" w:cs="仿宋_GB2312"/>
          <w:color w:val="auto"/>
          <w:sz w:val="32"/>
          <w:szCs w:val="32"/>
          <w:lang w:val="en"/>
        </w:rPr>
        <w:t>建设工程预算</w:t>
      </w:r>
      <w:r>
        <w:rPr>
          <w:rFonts w:hint="eastAsia" w:ascii="仿宋_GB2312" w:hAnsi="仿宋_GB2312" w:eastAsia="仿宋_GB2312" w:cs="仿宋_GB2312"/>
          <w:color w:val="auto"/>
          <w:sz w:val="32"/>
          <w:szCs w:val="32"/>
        </w:rPr>
        <w:t>,按工程建设其他费用列支。</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s="Times New Roman"/>
          <w:b w:val="0"/>
          <w:bCs w:val="0"/>
          <w:color w:val="auto"/>
          <w:kern w:val="0"/>
          <w:sz w:val="32"/>
          <w:szCs w:val="32"/>
          <w:lang w:eastAsia="zh-CN"/>
        </w:rPr>
        <w:t>考古费用按照《国家文物局关于颁发〈考古调查、勘探、发掘收费定额管理办法〉的通知》（1990文物字第248号）进行测算。</w:t>
      </w:r>
    </w:p>
    <w:p>
      <w:pPr>
        <w:pStyle w:val="29"/>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napToGrid w:val="0"/>
          <w:color w:val="auto"/>
          <w:sz w:val="32"/>
          <w:szCs w:val="32"/>
          <w:lang w:eastAsia="zh-CN"/>
        </w:rPr>
        <w:t>第九条</w:t>
      </w:r>
      <w:r>
        <w:rPr>
          <w:rFonts w:hint="eastAsia" w:ascii="仿宋_GB2312" w:hAnsi="仿宋_GB2312" w:eastAsia="仿宋_GB2312" w:cs="仿宋_GB2312"/>
          <w:snapToGrid w:val="0"/>
          <w:color w:val="auto"/>
          <w:sz w:val="32"/>
          <w:szCs w:val="32"/>
          <w:lang w:val="en-US" w:eastAsia="zh-CN"/>
        </w:rPr>
        <w:t xml:space="preserve">  </w:t>
      </w:r>
      <w:r>
        <w:rPr>
          <w:rFonts w:hint="eastAsia" w:ascii="仿宋_GB2312" w:hAnsi="仿宋_GB2312" w:eastAsia="仿宋_GB2312" w:cs="仿宋_GB2312"/>
          <w:snapToGrid w:val="0"/>
          <w:color w:val="auto"/>
          <w:sz w:val="32"/>
          <w:szCs w:val="32"/>
        </w:rPr>
        <w:t>经考古</w:t>
      </w:r>
      <w:r>
        <w:rPr>
          <w:rFonts w:hint="eastAsia" w:ascii="仿宋_GB2312" w:hAnsi="仿宋_GB2312" w:eastAsia="仿宋_GB2312" w:cs="仿宋_GB2312"/>
          <w:snapToGrid w:val="0"/>
          <w:color w:val="auto"/>
          <w:sz w:val="32"/>
          <w:szCs w:val="32"/>
          <w:lang w:eastAsia="zh-CN"/>
        </w:rPr>
        <w:t>机构</w:t>
      </w:r>
      <w:r>
        <w:rPr>
          <w:rFonts w:hint="eastAsia" w:ascii="仿宋_GB2312" w:hAnsi="仿宋_GB2312" w:eastAsia="仿宋_GB2312" w:cs="仿宋_GB2312"/>
          <w:snapToGrid w:val="0"/>
          <w:color w:val="auto"/>
          <w:sz w:val="32"/>
          <w:szCs w:val="32"/>
        </w:rPr>
        <w:t>调查评估无埋藏文物的区域不再进行考</w:t>
      </w:r>
      <w:r>
        <w:rPr>
          <w:rFonts w:hint="eastAsia" w:ascii="仿宋_GB2312" w:hAnsi="仿宋_GB2312" w:eastAsia="仿宋_GB2312" w:cs="仿宋_GB2312"/>
          <w:color w:val="auto"/>
          <w:sz w:val="32"/>
          <w:szCs w:val="32"/>
        </w:rPr>
        <w:t>古勘探,由市级文物行政部门出具考古意见</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rPr>
        <w:t>可能存在地下文化遗存的</w:t>
      </w:r>
      <w:r>
        <w:rPr>
          <w:rFonts w:hint="eastAsia" w:ascii="仿宋_GB2312" w:hAnsi="仿宋_GB2312" w:eastAsia="仿宋_GB2312" w:cs="仿宋_GB2312"/>
          <w:color w:val="auto"/>
          <w:sz w:val="32"/>
          <w:szCs w:val="32"/>
          <w:lang w:eastAsia="zh-CN"/>
        </w:rPr>
        <w:t>地块</w:t>
      </w:r>
      <w:r>
        <w:rPr>
          <w:rFonts w:hint="eastAsia" w:ascii="仿宋_GB2312" w:hAnsi="仿宋_GB2312" w:eastAsia="仿宋_GB2312" w:cs="仿宋_GB2312"/>
          <w:color w:val="auto"/>
          <w:sz w:val="32"/>
          <w:szCs w:val="32"/>
        </w:rPr>
        <w:t>,市文物行政部门应当</w:t>
      </w:r>
      <w:r>
        <w:rPr>
          <w:rFonts w:hint="eastAsia" w:ascii="仿宋_GB2312" w:hAnsi="仿宋_GB2312" w:eastAsia="仿宋_GB2312" w:cs="仿宋_GB2312"/>
          <w:color w:val="auto"/>
          <w:sz w:val="32"/>
          <w:szCs w:val="32"/>
          <w:lang w:eastAsia="zh-CN"/>
        </w:rPr>
        <w:t>委托</w:t>
      </w:r>
      <w:r>
        <w:rPr>
          <w:rFonts w:hint="eastAsia" w:ascii="仿宋_GB2312" w:hAnsi="仿宋_GB2312" w:eastAsia="仿宋_GB2312" w:cs="仿宋_GB2312"/>
          <w:color w:val="auto"/>
          <w:sz w:val="32"/>
          <w:szCs w:val="32"/>
          <w:u w:val="none"/>
          <w:lang w:eastAsia="zh-CN"/>
        </w:rPr>
        <w:t>具备</w:t>
      </w:r>
      <w:r>
        <w:rPr>
          <w:rFonts w:hint="eastAsia" w:ascii="仿宋_GB2312" w:hAnsi="仿宋_GB2312" w:eastAsia="仿宋_GB2312" w:cs="仿宋_GB2312"/>
          <w:color w:val="auto"/>
          <w:sz w:val="32"/>
          <w:szCs w:val="32"/>
        </w:rPr>
        <w:t>考古</w:t>
      </w:r>
      <w:r>
        <w:rPr>
          <w:rFonts w:hint="eastAsia" w:ascii="仿宋_GB2312" w:hAnsi="仿宋_GB2312" w:eastAsia="仿宋_GB2312" w:cs="仿宋_GB2312"/>
          <w:color w:val="auto"/>
          <w:sz w:val="32"/>
          <w:szCs w:val="32"/>
          <w:lang w:eastAsia="zh-CN"/>
        </w:rPr>
        <w:t>发掘</w:t>
      </w:r>
      <w:r>
        <w:rPr>
          <w:rFonts w:hint="eastAsia" w:ascii="仿宋_GB2312" w:hAnsi="仿宋_GB2312" w:eastAsia="仿宋_GB2312" w:cs="仿宋_GB2312"/>
          <w:color w:val="auto"/>
          <w:sz w:val="32"/>
          <w:szCs w:val="32"/>
        </w:rPr>
        <w:t>资质</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单位进行考古勘探</w:t>
      </w:r>
      <w:r>
        <w:rPr>
          <w:rFonts w:hint="eastAsia" w:ascii="仿宋_GB2312" w:hAnsi="仿宋_GB2312" w:eastAsia="仿宋_GB2312" w:cs="仿宋_GB2312"/>
          <w:color w:val="auto"/>
          <w:sz w:val="32"/>
          <w:szCs w:val="32"/>
          <w:lang w:eastAsia="zh-CN"/>
        </w:rPr>
        <w:t>工作。</w:t>
      </w:r>
    </w:p>
    <w:p>
      <w:pPr>
        <w:pStyle w:val="29"/>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经考古勘探未发现地下文物遗存的,市文物行政部门应在收到考古勘探报告后</w:t>
      </w:r>
      <w:r>
        <w:rPr>
          <w:rFonts w:hint="eastAsia" w:ascii="仿宋_GB2312" w:hAnsi="仿宋_GB2312" w:eastAsia="仿宋_GB2312" w:cs="仿宋_GB2312"/>
          <w:color w:val="auto"/>
          <w:sz w:val="32"/>
          <w:szCs w:val="32"/>
          <w:lang w:eastAsia="zh-CN"/>
        </w:rPr>
        <w:t>5</w:t>
      </w:r>
      <w:r>
        <w:rPr>
          <w:rFonts w:hint="eastAsia" w:ascii="仿宋_GB2312" w:hAnsi="仿宋_GB2312" w:eastAsia="仿宋_GB2312" w:cs="仿宋_GB2312"/>
          <w:color w:val="auto"/>
          <w:sz w:val="32"/>
          <w:szCs w:val="32"/>
        </w:rPr>
        <w:t>个工作日内向</w:t>
      </w:r>
      <w:r>
        <w:rPr>
          <w:rFonts w:hint="eastAsia" w:ascii="仿宋_GB2312" w:hAnsi="仿宋_GB2312" w:eastAsia="仿宋_GB2312" w:cs="仿宋_GB2312"/>
          <w:color w:val="auto"/>
          <w:sz w:val="32"/>
          <w:szCs w:val="32"/>
          <w:lang w:eastAsia="zh-CN"/>
        </w:rPr>
        <w:t>市资规部门或建设单位</w:t>
      </w:r>
      <w:r>
        <w:rPr>
          <w:rFonts w:hint="eastAsia" w:ascii="仿宋_GB2312" w:hAnsi="仿宋_GB2312" w:eastAsia="仿宋_GB2312" w:cs="仿宋_GB2312"/>
          <w:color w:val="auto"/>
          <w:sz w:val="32"/>
          <w:szCs w:val="32"/>
        </w:rPr>
        <w:t>出具考古意见;经考古调查、勘探确有地下文物遗存的,由市文物行政部门书面报告省级文物行政部门申请考古发掘,同时书面告知</w:t>
      </w:r>
      <w:r>
        <w:rPr>
          <w:rFonts w:hint="eastAsia" w:ascii="仿宋_GB2312" w:hAnsi="仿宋_GB2312" w:eastAsia="仿宋_GB2312" w:cs="仿宋_GB2312"/>
          <w:color w:val="auto"/>
          <w:sz w:val="32"/>
          <w:szCs w:val="32"/>
          <w:lang w:eastAsia="zh-CN"/>
        </w:rPr>
        <w:t>市资规部门或建设单位，</w:t>
      </w:r>
      <w:r>
        <w:rPr>
          <w:rFonts w:hint="eastAsia" w:ascii="仿宋_GB2312" w:hAnsi="仿宋_GB2312" w:eastAsia="仿宋_GB2312" w:cs="仿宋_GB2312"/>
          <w:color w:val="auto"/>
          <w:sz w:val="32"/>
          <w:szCs w:val="32"/>
        </w:rPr>
        <w:t>暂停地块前期供地流程</w:t>
      </w:r>
      <w:r>
        <w:rPr>
          <w:rFonts w:hint="eastAsia" w:ascii="仿宋_GB2312" w:hAnsi="仿宋_GB2312" w:eastAsia="仿宋_GB2312" w:cs="仿宋_GB2312"/>
          <w:color w:val="auto"/>
          <w:sz w:val="32"/>
          <w:szCs w:val="32"/>
          <w:lang w:eastAsia="zh-CN"/>
        </w:rPr>
        <w:t>或项目实施</w:t>
      </w:r>
      <w:r>
        <w:rPr>
          <w:rFonts w:hint="eastAsia" w:ascii="仿宋_GB2312" w:hAnsi="仿宋_GB2312" w:eastAsia="仿宋_GB2312" w:cs="仿宋_GB2312"/>
          <w:color w:val="auto"/>
          <w:sz w:val="32"/>
          <w:szCs w:val="32"/>
        </w:rPr>
        <w:t>。</w:t>
      </w:r>
    </w:p>
    <w:p>
      <w:pPr>
        <w:pStyle w:val="29"/>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第十条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市文物行政部门应当</w:t>
      </w:r>
      <w:r>
        <w:rPr>
          <w:rFonts w:hint="eastAsia" w:ascii="仿宋_GB2312" w:hAnsi="仿宋_GB2312" w:eastAsia="仿宋_GB2312" w:cs="仿宋_GB2312"/>
          <w:color w:val="auto"/>
          <w:sz w:val="32"/>
          <w:szCs w:val="32"/>
          <w:lang w:eastAsia="zh-CN"/>
        </w:rPr>
        <w:t>对考古调查、勘探报告进行审核，根据审核通过的考古调查、勘探报告出具</w:t>
      </w:r>
      <w:r>
        <w:rPr>
          <w:rFonts w:hint="eastAsia" w:ascii="仿宋_GB2312" w:hAnsi="仿宋_GB2312" w:eastAsia="仿宋_GB2312" w:cs="仿宋_GB2312"/>
          <w:color w:val="auto"/>
          <w:sz w:val="32"/>
          <w:szCs w:val="32"/>
        </w:rPr>
        <w:t>《考古工作完成意见书》</w:t>
      </w:r>
      <w:r>
        <w:rPr>
          <w:rFonts w:hint="default" w:ascii="仿宋_GB2312" w:hAnsi="仿宋_GB2312" w:eastAsia="仿宋_GB2312" w:cs="仿宋_GB2312"/>
          <w:color w:val="auto"/>
          <w:sz w:val="32"/>
          <w:szCs w:val="32"/>
          <w:lang w:val="en"/>
        </w:rPr>
        <w:t>，包含</w:t>
      </w:r>
      <w:r>
        <w:rPr>
          <w:rFonts w:hint="eastAsia" w:ascii="仿宋_GB2312" w:hAnsi="仿宋_GB2312" w:eastAsia="仿宋_GB2312" w:cs="仿宋_GB2312"/>
          <w:color w:val="auto"/>
          <w:sz w:val="32"/>
          <w:szCs w:val="32"/>
          <w:lang w:eastAsia="zh-CN"/>
        </w:rPr>
        <w:t>考古成果</w:t>
      </w:r>
      <w:r>
        <w:rPr>
          <w:rFonts w:hint="eastAsia" w:ascii="仿宋_GB2312" w:hAnsi="仿宋_GB2312" w:eastAsia="仿宋_GB2312" w:cs="仿宋_GB2312"/>
          <w:color w:val="auto"/>
          <w:sz w:val="32"/>
          <w:szCs w:val="32"/>
        </w:rPr>
        <w:t>、文物保护具体要求</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rPr>
        <w:t>正式函告</w:t>
      </w:r>
      <w:r>
        <w:rPr>
          <w:rFonts w:hint="eastAsia" w:ascii="仿宋_GB2312" w:hAnsi="仿宋_GB2312" w:eastAsia="仿宋_GB2312" w:cs="仿宋_GB2312"/>
          <w:color w:val="auto"/>
          <w:sz w:val="32"/>
          <w:szCs w:val="32"/>
          <w:lang w:eastAsia="zh-CN"/>
        </w:rPr>
        <w:t>市资规</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eastAsia="zh-CN"/>
        </w:rPr>
        <w:t>和建设单位</w:t>
      </w:r>
      <w:r>
        <w:rPr>
          <w:rFonts w:hint="eastAsia" w:ascii="仿宋_GB2312" w:hAnsi="仿宋_GB2312" w:eastAsia="仿宋_GB2312" w:cs="仿宋_GB2312"/>
          <w:color w:val="auto"/>
          <w:sz w:val="32"/>
          <w:szCs w:val="32"/>
        </w:rPr>
        <w:t>。</w:t>
      </w:r>
    </w:p>
    <w:p>
      <w:pPr>
        <w:pStyle w:val="29"/>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市资规</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eastAsia="zh-CN"/>
        </w:rPr>
        <w:t>应</w:t>
      </w:r>
      <w:r>
        <w:rPr>
          <w:rFonts w:hint="eastAsia" w:ascii="仿宋_GB2312" w:hAnsi="仿宋_GB2312" w:eastAsia="仿宋_GB2312" w:cs="仿宋_GB2312"/>
          <w:color w:val="auto"/>
          <w:sz w:val="32"/>
          <w:szCs w:val="32"/>
        </w:rPr>
        <w:t>将考古</w:t>
      </w:r>
      <w:r>
        <w:rPr>
          <w:rFonts w:hint="eastAsia" w:ascii="仿宋_GB2312" w:hAnsi="仿宋_GB2312" w:eastAsia="仿宋_GB2312" w:cs="仿宋_GB2312"/>
          <w:color w:val="auto"/>
          <w:sz w:val="32"/>
          <w:szCs w:val="32"/>
          <w:lang w:eastAsia="zh-CN"/>
        </w:rPr>
        <w:t>完成</w:t>
      </w:r>
      <w:r>
        <w:rPr>
          <w:rFonts w:hint="eastAsia" w:ascii="仿宋_GB2312" w:hAnsi="仿宋_GB2312" w:eastAsia="仿宋_GB2312" w:cs="仿宋_GB2312"/>
          <w:color w:val="auto"/>
          <w:sz w:val="32"/>
          <w:szCs w:val="32"/>
        </w:rPr>
        <w:t>情况作为土地供应的必要条件。对已完成考古工作、明确无文物遗存,或已完成考古发掘、市文物</w:t>
      </w:r>
      <w:r>
        <w:rPr>
          <w:rFonts w:hint="eastAsia" w:ascii="仿宋_GB2312" w:hAnsi="仿宋_GB2312" w:eastAsia="仿宋_GB2312" w:cs="仿宋_GB2312"/>
          <w:color w:val="auto"/>
          <w:sz w:val="32"/>
          <w:szCs w:val="32"/>
          <w:lang w:eastAsia="zh-CN"/>
        </w:rPr>
        <w:t>行政</w:t>
      </w:r>
      <w:r>
        <w:rPr>
          <w:rFonts w:hint="eastAsia" w:ascii="仿宋_GB2312" w:hAnsi="仿宋_GB2312" w:eastAsia="仿宋_GB2312" w:cs="仿宋_GB2312"/>
          <w:color w:val="auto"/>
          <w:sz w:val="32"/>
          <w:szCs w:val="32"/>
        </w:rPr>
        <w:t>部门明确可以供地的地块,按规定程序组织</w:t>
      </w:r>
      <w:r>
        <w:rPr>
          <w:rFonts w:hint="eastAsia" w:ascii="仿宋_GB2312" w:hAnsi="仿宋_GB2312" w:eastAsia="仿宋_GB2312" w:cs="仿宋_GB2312"/>
          <w:color w:val="auto"/>
          <w:sz w:val="32"/>
          <w:szCs w:val="32"/>
          <w:lang w:eastAsia="zh-CN"/>
        </w:rPr>
        <w:t>进行供应</w:t>
      </w:r>
      <w:r>
        <w:rPr>
          <w:rFonts w:hint="eastAsia" w:ascii="仿宋_GB2312" w:hAnsi="仿宋_GB2312" w:eastAsia="仿宋_GB2312" w:cs="仿宋_GB2312"/>
          <w:color w:val="auto"/>
          <w:sz w:val="32"/>
          <w:szCs w:val="32"/>
        </w:rPr>
        <w:t>;对于需原址保护的地块,应调整供地方案或规划条件。</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文物</w:t>
      </w:r>
      <w:r>
        <w:rPr>
          <w:rFonts w:hint="eastAsia" w:ascii="仿宋_GB2312" w:hAnsi="仿宋_GB2312" w:eastAsia="仿宋_GB2312" w:cs="仿宋_GB2312"/>
          <w:color w:val="auto"/>
          <w:sz w:val="32"/>
          <w:szCs w:val="32"/>
          <w:lang w:eastAsia="zh-CN"/>
        </w:rPr>
        <w:t>行政</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eastAsia="zh-CN"/>
        </w:rPr>
        <w:t>考古完成</w:t>
      </w:r>
      <w:r>
        <w:rPr>
          <w:rFonts w:hint="eastAsia" w:ascii="仿宋_GB2312" w:hAnsi="仿宋_GB2312" w:eastAsia="仿宋_GB2312" w:cs="仿宋_GB2312"/>
          <w:color w:val="auto"/>
          <w:sz w:val="32"/>
          <w:szCs w:val="32"/>
        </w:rPr>
        <w:t>意见明确文物保护要求的,在土地出让公告、土地出让合同、划拨决定书或建设项目规划条件中,明确提出考古结论及相应的文物保护要求,告知土地使用权人。</w:t>
      </w:r>
    </w:p>
    <w:p>
      <w:pPr>
        <w:pStyle w:val="29"/>
        <w:keepNext w:val="0"/>
        <w:keepLines w:val="0"/>
        <w:pageBreakBefore w:val="0"/>
        <w:widowControl w:val="0"/>
        <w:numPr>
          <w:ilvl w:val="-1"/>
          <w:numId w:val="0"/>
        </w:numPr>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市发改、资规、营商环境建设（行政审批）部门及重点园区，应当将</w:t>
      </w:r>
      <w:r>
        <w:rPr>
          <w:rFonts w:hint="eastAsia" w:ascii="仿宋_GB2312" w:hAnsi="仿宋_GB2312" w:eastAsia="仿宋_GB2312" w:cs="仿宋_GB2312"/>
          <w:color w:val="auto"/>
          <w:sz w:val="32"/>
          <w:szCs w:val="32"/>
        </w:rPr>
        <w:t>考古工作完成情况作为</w:t>
      </w:r>
      <w:r>
        <w:rPr>
          <w:rFonts w:hint="eastAsia" w:ascii="仿宋_GB2312" w:hAnsi="仿宋_GB2312" w:eastAsia="仿宋_GB2312" w:cs="仿宋_GB2312"/>
          <w:color w:val="auto"/>
          <w:sz w:val="32"/>
          <w:szCs w:val="32"/>
          <w:lang w:eastAsia="zh-CN"/>
        </w:rPr>
        <w:t>项目审批的必要条件。</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2"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第四章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监督管理</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 xml:space="preserve">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文物、发改、资规、住建、</w:t>
      </w:r>
      <w:r>
        <w:rPr>
          <w:rFonts w:hint="eastAsia" w:ascii="仿宋_GB2312" w:hAnsi="仿宋_GB2312" w:eastAsia="仿宋_GB2312" w:cs="仿宋_GB2312"/>
          <w:color w:val="auto"/>
          <w:sz w:val="32"/>
          <w:szCs w:val="32"/>
          <w:lang w:eastAsia="zh-CN"/>
        </w:rPr>
        <w:t>财政、重点</w:t>
      </w:r>
      <w:r>
        <w:rPr>
          <w:rFonts w:hint="eastAsia" w:ascii="仿宋_GB2312" w:hAnsi="仿宋_GB2312" w:eastAsia="仿宋_GB2312" w:cs="仿宋_GB2312"/>
          <w:color w:val="auto"/>
          <w:sz w:val="32"/>
          <w:szCs w:val="32"/>
        </w:rPr>
        <w:t>园区管理机构等部门应加强协作与信息沟通,共同推动“考古前置”工作有效落实,落实文物保护有关要求。</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 xml:space="preserve">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政府储备地块</w:t>
      </w:r>
      <w:r>
        <w:rPr>
          <w:rFonts w:hint="eastAsia" w:ascii="仿宋_GB2312" w:hAnsi="仿宋_GB2312" w:eastAsia="仿宋_GB2312" w:cs="仿宋_GB2312"/>
          <w:color w:val="auto"/>
          <w:sz w:val="32"/>
          <w:szCs w:val="32"/>
          <w:lang w:eastAsia="zh-CN"/>
        </w:rPr>
        <w:t>中涉及文物本体、</w:t>
      </w:r>
      <w:r>
        <w:rPr>
          <w:rFonts w:hint="eastAsia" w:ascii="仿宋_GB2312" w:hAnsi="仿宋_GB2312" w:eastAsia="仿宋_GB2312" w:cs="仿宋_GB2312"/>
          <w:color w:val="auto"/>
          <w:sz w:val="32"/>
          <w:szCs w:val="32"/>
        </w:rPr>
        <w:t>文物保护范围</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建设控制地带、地下文物埋藏区</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，由市文物</w:t>
      </w:r>
      <w:r>
        <w:rPr>
          <w:rFonts w:hint="eastAsia" w:ascii="仿宋_GB2312" w:hAnsi="仿宋_GB2312" w:eastAsia="仿宋_GB2312" w:cs="仿宋_GB2312"/>
          <w:color w:val="auto"/>
          <w:sz w:val="32"/>
          <w:szCs w:val="32"/>
          <w:lang w:eastAsia="zh-CN"/>
        </w:rPr>
        <w:t>行政</w:t>
      </w:r>
      <w:r>
        <w:rPr>
          <w:rFonts w:hint="eastAsia" w:ascii="仿宋_GB2312" w:hAnsi="仿宋_GB2312" w:eastAsia="仿宋_GB2312" w:cs="仿宋_GB2312"/>
          <w:color w:val="auto"/>
          <w:sz w:val="32"/>
          <w:szCs w:val="32"/>
        </w:rPr>
        <w:t>部门督促属地</w:t>
      </w:r>
      <w:r>
        <w:rPr>
          <w:rFonts w:hint="eastAsia" w:ascii="仿宋_GB2312" w:hAnsi="仿宋_GB2312" w:eastAsia="仿宋_GB2312" w:cs="仿宋_GB2312"/>
          <w:color w:val="auto"/>
          <w:sz w:val="32"/>
          <w:szCs w:val="32"/>
          <w:lang w:eastAsia="zh-CN"/>
        </w:rPr>
        <w:t>文物行政部门</w:t>
      </w:r>
      <w:r>
        <w:rPr>
          <w:rFonts w:hint="eastAsia" w:ascii="仿宋_GB2312" w:hAnsi="仿宋_GB2312" w:eastAsia="仿宋_GB2312" w:cs="仿宋_GB2312"/>
          <w:color w:val="auto"/>
          <w:sz w:val="32"/>
          <w:szCs w:val="32"/>
        </w:rPr>
        <w:t>落实地块文物日常巡查、安全防护管理责任。</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2"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第五章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附则</w:t>
      </w:r>
    </w:p>
    <w:p>
      <w:pPr>
        <w:pStyle w:val="29"/>
        <w:keepNext w:val="0"/>
        <w:keepLines w:val="0"/>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 xml:space="preserve">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w:t>
      </w:r>
      <w:r>
        <w:rPr>
          <w:rFonts w:hint="default" w:ascii="仿宋_GB2312" w:hAnsi="仿宋_GB2312" w:eastAsia="仿宋_GB2312" w:cs="仿宋_GB2312"/>
          <w:color w:val="auto"/>
          <w:sz w:val="32"/>
          <w:szCs w:val="32"/>
          <w:lang w:val="en"/>
        </w:rPr>
        <w:t>规程</w:t>
      </w:r>
      <w:r>
        <w:rPr>
          <w:rFonts w:hint="eastAsia" w:ascii="仿宋_GB2312" w:hAnsi="仿宋_GB2312" w:eastAsia="仿宋_GB2312" w:cs="仿宋_GB2312"/>
          <w:color w:val="auto"/>
          <w:sz w:val="32"/>
          <w:szCs w:val="32"/>
        </w:rPr>
        <w:t>由三亚市旅游和文化广电体育局（三亚市文物局）、三亚市自然资源和规划局负责解释。</w:t>
      </w:r>
    </w:p>
    <w:p>
      <w:pPr>
        <w:pStyle w:val="29"/>
        <w:pageBreakBefore w:val="0"/>
        <w:widowControl w:val="0"/>
        <w:kinsoku/>
        <w:wordWrap/>
        <w:overflowPunct/>
        <w:topLinePunct w:val="0"/>
        <w:autoSpaceDE/>
        <w:autoSpaceDN/>
        <w:bidi w:val="0"/>
        <w:adjustRightInd w:val="0"/>
        <w:snapToGrid w:val="0"/>
        <w:spacing w:before="0" w:after="0" w:line="556"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 xml:space="preserve">条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w:t>
      </w:r>
      <w:r>
        <w:rPr>
          <w:rFonts w:hint="default" w:ascii="仿宋_GB2312" w:hAnsi="仿宋_GB2312" w:eastAsia="仿宋_GB2312" w:cs="仿宋_GB2312"/>
          <w:color w:val="auto"/>
          <w:sz w:val="32"/>
          <w:szCs w:val="32"/>
          <w:lang w:val="en"/>
        </w:rPr>
        <w:t>规程</w:t>
      </w:r>
      <w:r>
        <w:rPr>
          <w:rFonts w:hint="eastAsia" w:ascii="仿宋_GB2312" w:hAnsi="仿宋_GB2312" w:eastAsia="仿宋_GB2312" w:cs="仿宋_GB2312"/>
          <w:color w:val="auto"/>
          <w:sz w:val="32"/>
          <w:szCs w:val="32"/>
        </w:rPr>
        <w:t>自</w:t>
      </w:r>
      <w:r>
        <w:rPr>
          <w:rFonts w:hint="eastAsia" w:ascii="仿宋_GB2312" w:hAnsi="仿宋_GB2312" w:eastAsia="仿宋_GB2312" w:cs="仿宋_GB2312"/>
          <w:color w:val="auto"/>
          <w:sz w:val="32"/>
          <w:szCs w:val="32"/>
          <w:lang w:eastAsia="zh-CN"/>
        </w:rPr>
        <w:t>发布</w:t>
      </w:r>
      <w:r>
        <w:rPr>
          <w:rFonts w:hint="eastAsia" w:ascii="仿宋_GB2312" w:hAnsi="仿宋_GB2312" w:eastAsia="仿宋_GB2312" w:cs="仿宋_GB2312"/>
          <w:color w:val="auto"/>
          <w:sz w:val="32"/>
          <w:szCs w:val="32"/>
        </w:rPr>
        <w:t>之日起施行，有效期</w:t>
      </w:r>
      <w:r>
        <w:rPr>
          <w:rFonts w:hint="eastAsia" w:ascii="仿宋_GB2312" w:hAnsi="仿宋_GB2312" w:eastAsia="仿宋_GB2312" w:cs="仿宋_GB2312"/>
          <w:color w:val="auto"/>
          <w:sz w:val="32"/>
          <w:szCs w:val="32"/>
          <w:lang w:eastAsia="zh-CN"/>
        </w:rPr>
        <w:t>3</w:t>
      </w:r>
      <w:r>
        <w:rPr>
          <w:rFonts w:hint="eastAsia" w:ascii="仿宋_GB2312" w:hAnsi="仿宋_GB2312" w:eastAsia="仿宋_GB2312" w:cs="仿宋_GB2312"/>
          <w:color w:val="auto"/>
          <w:sz w:val="32"/>
          <w:szCs w:val="32"/>
        </w:rPr>
        <w:t>年；国家</w:t>
      </w:r>
      <w:r>
        <w:rPr>
          <w:rFonts w:hint="eastAsia" w:ascii="仿宋_GB2312" w:hAnsi="仿宋_GB2312" w:eastAsia="仿宋_GB2312" w:cs="仿宋_GB2312"/>
          <w:color w:val="auto"/>
          <w:sz w:val="32"/>
          <w:szCs w:val="32"/>
          <w:lang w:eastAsia="zh-CN"/>
        </w:rPr>
        <w:t>或</w:t>
      </w:r>
      <w:r>
        <w:rPr>
          <w:rFonts w:hint="eastAsia" w:ascii="仿宋_GB2312" w:hAnsi="仿宋_GB2312" w:eastAsia="仿宋_GB2312" w:cs="仿宋_GB2312"/>
          <w:color w:val="auto"/>
          <w:sz w:val="32"/>
          <w:szCs w:val="32"/>
        </w:rPr>
        <w:t>省</w:t>
      </w:r>
      <w:r>
        <w:rPr>
          <w:rFonts w:hint="eastAsia" w:ascii="仿宋_GB2312" w:hAnsi="仿宋_GB2312" w:eastAsia="仿宋_GB2312" w:cs="仿宋_GB2312"/>
          <w:color w:val="auto"/>
          <w:sz w:val="32"/>
          <w:szCs w:val="32"/>
          <w:lang w:eastAsia="zh-CN"/>
        </w:rPr>
        <w:t>级</w:t>
      </w:r>
      <w:r>
        <w:rPr>
          <w:rFonts w:hint="eastAsia" w:ascii="仿宋_GB2312" w:hAnsi="仿宋_GB2312" w:eastAsia="仿宋_GB2312" w:cs="仿宋_GB2312"/>
          <w:color w:val="auto"/>
          <w:sz w:val="32"/>
          <w:szCs w:val="32"/>
        </w:rPr>
        <w:t>后续出台新</w:t>
      </w:r>
      <w:r>
        <w:rPr>
          <w:rFonts w:hint="eastAsia" w:ascii="仿宋_GB2312" w:hAnsi="仿宋_GB2312" w:eastAsia="仿宋_GB2312" w:cs="仿宋_GB2312"/>
          <w:color w:val="auto"/>
          <w:sz w:val="32"/>
          <w:szCs w:val="32"/>
          <w:lang w:eastAsia="zh-CN"/>
        </w:rPr>
        <w:t>规定</w:t>
      </w:r>
      <w:r>
        <w:rPr>
          <w:rFonts w:hint="eastAsia" w:ascii="仿宋_GB2312" w:hAnsi="仿宋_GB2312" w:eastAsia="仿宋_GB2312" w:cs="仿宋_GB2312"/>
          <w:color w:val="auto"/>
          <w:sz w:val="32"/>
          <w:szCs w:val="32"/>
        </w:rPr>
        <w:t>的，从其规定。</w:t>
      </w:r>
      <w:bookmarkEnd w:id="0"/>
    </w:p>
    <w:sectPr>
      <w:footnotePr>
        <w:numRestart w:val="eachSect"/>
      </w:footnotePr>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等线">
    <w:panose1 w:val="02010600030101010101"/>
    <w:charset w:val="86"/>
    <w:family w:val="auto"/>
    <w:pitch w:val="default"/>
    <w:sig w:usb0="A00002BF" w:usb1="38CF7CFA" w:usb2="00000016" w:usb3="00000000" w:csb0="0004000F" w:csb1="00000000"/>
  </w:font>
  <w:font w:name="HYXiDengXianF">
    <w:altName w:val="宋体"/>
    <w:panose1 w:val="02010600000101010101"/>
    <w:charset w:val="86"/>
    <w:family w:val="auto"/>
    <w:pitch w:val="default"/>
    <w:sig w:usb0="00000000" w:usb1="00000000" w:usb2="00000002" w:usb3="00000000" w:csb0="00040000" w:csb1="00000000"/>
  </w:font>
  <w:font w:name="Consolas">
    <w:panose1 w:val="020B0609020204030204"/>
    <w:charset w:val="00"/>
    <w:family w:val="auto"/>
    <w:pitch w:val="default"/>
    <w:sig w:usb0="E10002FF" w:usb1="4000FCFF" w:usb2="00000009" w:usb3="00000000" w:csb0="6000019F" w:csb1="DFD7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A0000287" w:usb1="28C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等线 Light">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微软简标宋">
    <w:panose1 w:val="00000000000000000000"/>
    <w:charset w:val="00"/>
    <w:family w:val="auto"/>
    <w:pitch w:val="default"/>
    <w:sig w:usb0="00000000" w:usb1="00000000" w:usb2="00000000" w:usb3="00000000" w:csb0="00000000" w:csb1="00000000"/>
  </w:font>
  <w:font w:name="方正仿宋繁体">
    <w:panose1 w:val="02010601030101010101"/>
    <w:charset w:val="86"/>
    <w:family w:val="auto"/>
    <w:pitch w:val="default"/>
    <w:sig w:usb0="00000001" w:usb1="080E0000" w:usb2="00000000" w:usb3="00000000" w:csb0="00040000" w:csb1="00000000"/>
  </w:font>
  <w:font w:name="方正古隶简体">
    <w:panose1 w:val="03000509000000000000"/>
    <w:charset w:val="86"/>
    <w:family w:val="auto"/>
    <w:pitch w:val="default"/>
    <w:sig w:usb0="00000001" w:usb1="080E0000" w:usb2="00000000" w:usb3="00000000" w:csb0="00040000" w:csb1="00000000"/>
  </w:font>
  <w:font w:name="方正大标宋繁体">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方正古隶繁体">
    <w:panose1 w:val="03000509000000000000"/>
    <w:charset w:val="86"/>
    <w:family w:val="auto"/>
    <w:pitch w:val="default"/>
    <w:sig w:usb0="00000001" w:usb1="080E0000" w:usb2="00000000" w:usb3="00000000" w:csb0="00040000" w:csb1="00000000"/>
  </w:font>
  <w:font w:name="方正楷体繁体">
    <w:panose1 w:val="02010601030101010101"/>
    <w:charset w:val="86"/>
    <w:family w:val="auto"/>
    <w:pitch w:val="default"/>
    <w:sig w:usb0="00000001" w:usb1="080E0000" w:usb2="00000000" w:usb3="00000000" w:csb0="00040000" w:csb1="00000000"/>
  </w:font>
  <w:font w:name="方正琥珀繁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EEC7F"/>
    <w:multiLevelType w:val="singleLevel"/>
    <w:tmpl w:val="FB7EEC7F"/>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false"/>
  <w:bordersDoNotSurroundFooter w:val="false"/>
  <w:doNotTrackMoves/>
  <w:trackRevisions w:val="true"/>
  <w:documentProtection w:enforcement="0"/>
  <w:defaultTabStop w:val="720"/>
  <w:drawingGridHorizontalSpacing w:val="360"/>
  <w:drawingGridVerticalSpacing w:val="360"/>
  <w:displayHorizontalDrawingGridEvery w:val="1"/>
  <w:displayVerticalDrawingGridEvery w:val="1"/>
  <w:noPunctuationKerning w:val="true"/>
  <w:characterSpacingControl w:val="doNotCompress"/>
  <w:footnotePr>
    <w:numRestart w:val="eachSect"/>
  </w:footnotePr>
  <w:compat>
    <w:doNotExpandShiftReturn/>
    <w:doNotWrapTextWithPunct/>
    <w:doNotUseEastAsianBreakRules/>
    <w:useFELayout/>
    <w:doNotUseIndentAsNumberingTabStop/>
    <w:useAltKinsokuLineBreakRules/>
    <w:splitPgBreakAndParaMark/>
    <w:compatSetting w:name="compatibilityMode" w:uri="http://schemas.microsoft.com/office/word" w:val="12"/>
  </w:compat>
  <w:rsids>
    <w:rsidRoot w:val="00000000"/>
    <w:rsid w:val="08383AAD"/>
    <w:rsid w:val="093A7ED1"/>
    <w:rsid w:val="0BF51ABF"/>
    <w:rsid w:val="0D5F7B54"/>
    <w:rsid w:val="125B5636"/>
    <w:rsid w:val="151A362D"/>
    <w:rsid w:val="1A786B33"/>
    <w:rsid w:val="1AADCF3B"/>
    <w:rsid w:val="1BDC9A14"/>
    <w:rsid w:val="1BE786D9"/>
    <w:rsid w:val="1BEF0292"/>
    <w:rsid w:val="1D19729E"/>
    <w:rsid w:val="1DAD02E2"/>
    <w:rsid w:val="1FE2FEB8"/>
    <w:rsid w:val="1FFF5E10"/>
    <w:rsid w:val="22BD5C59"/>
    <w:rsid w:val="295E3016"/>
    <w:rsid w:val="29FA07F7"/>
    <w:rsid w:val="2A9E6DC1"/>
    <w:rsid w:val="2B862023"/>
    <w:rsid w:val="2CD63A16"/>
    <w:rsid w:val="2CF18E8D"/>
    <w:rsid w:val="2DF7B762"/>
    <w:rsid w:val="2EDFBE6F"/>
    <w:rsid w:val="2F1F120F"/>
    <w:rsid w:val="31004243"/>
    <w:rsid w:val="344D1A0F"/>
    <w:rsid w:val="347E4C74"/>
    <w:rsid w:val="35ABCD18"/>
    <w:rsid w:val="35BB6555"/>
    <w:rsid w:val="35FF0E59"/>
    <w:rsid w:val="35FFB566"/>
    <w:rsid w:val="38316B01"/>
    <w:rsid w:val="38E314C0"/>
    <w:rsid w:val="39AFA01F"/>
    <w:rsid w:val="3BDBE6F8"/>
    <w:rsid w:val="3BFBF933"/>
    <w:rsid w:val="3BFF097C"/>
    <w:rsid w:val="3CE708E0"/>
    <w:rsid w:val="3D356E91"/>
    <w:rsid w:val="3DFB3889"/>
    <w:rsid w:val="3DFE591E"/>
    <w:rsid w:val="3E37B484"/>
    <w:rsid w:val="3E7FF828"/>
    <w:rsid w:val="3ECD9B40"/>
    <w:rsid w:val="3EDDEE43"/>
    <w:rsid w:val="3FB701BD"/>
    <w:rsid w:val="3FDF4D4F"/>
    <w:rsid w:val="3FEF698C"/>
    <w:rsid w:val="3FF395FE"/>
    <w:rsid w:val="4162149D"/>
    <w:rsid w:val="43317379"/>
    <w:rsid w:val="4654162C"/>
    <w:rsid w:val="4BC32B7D"/>
    <w:rsid w:val="4C5FFBC7"/>
    <w:rsid w:val="4DFDE46F"/>
    <w:rsid w:val="529E5B02"/>
    <w:rsid w:val="557BDB53"/>
    <w:rsid w:val="55BB4753"/>
    <w:rsid w:val="55FBC0E4"/>
    <w:rsid w:val="561E3517"/>
    <w:rsid w:val="568641DC"/>
    <w:rsid w:val="579354D7"/>
    <w:rsid w:val="57CE7883"/>
    <w:rsid w:val="57FF95B1"/>
    <w:rsid w:val="59345802"/>
    <w:rsid w:val="59DF01F9"/>
    <w:rsid w:val="59FF0165"/>
    <w:rsid w:val="5AE40D1D"/>
    <w:rsid w:val="5B6DF3D1"/>
    <w:rsid w:val="5BCF1E28"/>
    <w:rsid w:val="5BFF4827"/>
    <w:rsid w:val="5D9D4D9E"/>
    <w:rsid w:val="5DFA4D31"/>
    <w:rsid w:val="5DFBB0B2"/>
    <w:rsid w:val="5F3FD946"/>
    <w:rsid w:val="5F733462"/>
    <w:rsid w:val="5FCEBFDB"/>
    <w:rsid w:val="5FFDB9E3"/>
    <w:rsid w:val="61BD4459"/>
    <w:rsid w:val="64EA2190"/>
    <w:rsid w:val="65DF6542"/>
    <w:rsid w:val="66EFC2A5"/>
    <w:rsid w:val="67846F81"/>
    <w:rsid w:val="67CFABA5"/>
    <w:rsid w:val="67E723AD"/>
    <w:rsid w:val="6AB27169"/>
    <w:rsid w:val="6BB33412"/>
    <w:rsid w:val="6BCCCA99"/>
    <w:rsid w:val="6BFFA662"/>
    <w:rsid w:val="6D696618"/>
    <w:rsid w:val="6DBB2BBB"/>
    <w:rsid w:val="6DFF2F0E"/>
    <w:rsid w:val="6E0F7456"/>
    <w:rsid w:val="6EEF7116"/>
    <w:rsid w:val="6F7DF532"/>
    <w:rsid w:val="6FBF3265"/>
    <w:rsid w:val="6FCF75F8"/>
    <w:rsid w:val="6FEEC51D"/>
    <w:rsid w:val="6FF9C682"/>
    <w:rsid w:val="6FFF0303"/>
    <w:rsid w:val="6FFFEE87"/>
    <w:rsid w:val="70CF3947"/>
    <w:rsid w:val="71975826"/>
    <w:rsid w:val="72BA05EA"/>
    <w:rsid w:val="73AFBAF2"/>
    <w:rsid w:val="73CF15CB"/>
    <w:rsid w:val="73EF3E41"/>
    <w:rsid w:val="73FF1224"/>
    <w:rsid w:val="75E6DB65"/>
    <w:rsid w:val="76D5C25F"/>
    <w:rsid w:val="76DA0874"/>
    <w:rsid w:val="76DFA3C3"/>
    <w:rsid w:val="76FF1010"/>
    <w:rsid w:val="76FFBE27"/>
    <w:rsid w:val="77595B85"/>
    <w:rsid w:val="775AEE38"/>
    <w:rsid w:val="779F0E35"/>
    <w:rsid w:val="77DE9C4E"/>
    <w:rsid w:val="77DF1DC4"/>
    <w:rsid w:val="77FD086C"/>
    <w:rsid w:val="77FF2BC3"/>
    <w:rsid w:val="77FF9850"/>
    <w:rsid w:val="79774FA6"/>
    <w:rsid w:val="797FF109"/>
    <w:rsid w:val="7A537953"/>
    <w:rsid w:val="7A7808B7"/>
    <w:rsid w:val="7A7D1AFA"/>
    <w:rsid w:val="7B7FF246"/>
    <w:rsid w:val="7BED7CCD"/>
    <w:rsid w:val="7BEF2BF2"/>
    <w:rsid w:val="7BF670DF"/>
    <w:rsid w:val="7BFE8218"/>
    <w:rsid w:val="7C7C2D50"/>
    <w:rsid w:val="7CD6635B"/>
    <w:rsid w:val="7CF77DF7"/>
    <w:rsid w:val="7D3D0646"/>
    <w:rsid w:val="7D4F27DA"/>
    <w:rsid w:val="7D6B7C5A"/>
    <w:rsid w:val="7D7F8BB5"/>
    <w:rsid w:val="7DF3EDEC"/>
    <w:rsid w:val="7E3B3FE9"/>
    <w:rsid w:val="7E6F1308"/>
    <w:rsid w:val="7E6FF3A4"/>
    <w:rsid w:val="7E7B9380"/>
    <w:rsid w:val="7E99052A"/>
    <w:rsid w:val="7F7B829E"/>
    <w:rsid w:val="7F7BB411"/>
    <w:rsid w:val="7F95CB4D"/>
    <w:rsid w:val="7F96D133"/>
    <w:rsid w:val="7FBF9221"/>
    <w:rsid w:val="7FBFE4E9"/>
    <w:rsid w:val="7FCF8498"/>
    <w:rsid w:val="7FD395A5"/>
    <w:rsid w:val="7FD51A29"/>
    <w:rsid w:val="7FE615C5"/>
    <w:rsid w:val="7FE7558C"/>
    <w:rsid w:val="7FEFBA36"/>
    <w:rsid w:val="7FFE003C"/>
    <w:rsid w:val="7FFEBFF5"/>
    <w:rsid w:val="86611D0A"/>
    <w:rsid w:val="8AFFDD45"/>
    <w:rsid w:val="8EBF90BC"/>
    <w:rsid w:val="937CBF02"/>
    <w:rsid w:val="97FFE88D"/>
    <w:rsid w:val="9BFFCF9F"/>
    <w:rsid w:val="9EF6477B"/>
    <w:rsid w:val="9EFF1D8C"/>
    <w:rsid w:val="A4F7D0E0"/>
    <w:rsid w:val="A7F740B9"/>
    <w:rsid w:val="ABF4AB24"/>
    <w:rsid w:val="AFF6022B"/>
    <w:rsid w:val="B5AF5C85"/>
    <w:rsid w:val="B5DE6396"/>
    <w:rsid w:val="B5EEF817"/>
    <w:rsid w:val="B7DF724D"/>
    <w:rsid w:val="B7FC6FFB"/>
    <w:rsid w:val="B9D7B9E8"/>
    <w:rsid w:val="BB750F53"/>
    <w:rsid w:val="BB752685"/>
    <w:rsid w:val="BC456803"/>
    <w:rsid w:val="BCE7A6B6"/>
    <w:rsid w:val="BD6D86BF"/>
    <w:rsid w:val="BE7EBDBF"/>
    <w:rsid w:val="BEB58311"/>
    <w:rsid w:val="BEFC467C"/>
    <w:rsid w:val="BF1FE757"/>
    <w:rsid w:val="BFBFFFBB"/>
    <w:rsid w:val="BFC78447"/>
    <w:rsid w:val="BFDF30C5"/>
    <w:rsid w:val="BFEB565F"/>
    <w:rsid w:val="BFEF2F93"/>
    <w:rsid w:val="BFF770E5"/>
    <w:rsid w:val="CB4E82E1"/>
    <w:rsid w:val="CB7E149C"/>
    <w:rsid w:val="CBFEFF84"/>
    <w:rsid w:val="CC4D5451"/>
    <w:rsid w:val="CF7699EA"/>
    <w:rsid w:val="CF7F24FA"/>
    <w:rsid w:val="CFAFD74C"/>
    <w:rsid w:val="D3F7330D"/>
    <w:rsid w:val="D5C9ACE8"/>
    <w:rsid w:val="D5FB5DB4"/>
    <w:rsid w:val="D6B77EB1"/>
    <w:rsid w:val="D6FF4876"/>
    <w:rsid w:val="D77F0AC4"/>
    <w:rsid w:val="D7FE68C0"/>
    <w:rsid w:val="D99F26B6"/>
    <w:rsid w:val="DCCF8ACD"/>
    <w:rsid w:val="DDDB39F9"/>
    <w:rsid w:val="DDF68E31"/>
    <w:rsid w:val="DEA64BF3"/>
    <w:rsid w:val="DEBBAD4D"/>
    <w:rsid w:val="DEEF8055"/>
    <w:rsid w:val="DF5F3BF2"/>
    <w:rsid w:val="DF6EB4EB"/>
    <w:rsid w:val="DF77C8CD"/>
    <w:rsid w:val="DF7D8E5F"/>
    <w:rsid w:val="DF7F1251"/>
    <w:rsid w:val="DFDEC7F3"/>
    <w:rsid w:val="DFEF8971"/>
    <w:rsid w:val="E3DF0A2D"/>
    <w:rsid w:val="E7D24E91"/>
    <w:rsid w:val="E7FF2CD2"/>
    <w:rsid w:val="EAFE1F4A"/>
    <w:rsid w:val="EB732D87"/>
    <w:rsid w:val="ED739F22"/>
    <w:rsid w:val="EDB3C76A"/>
    <w:rsid w:val="EDD7EF4A"/>
    <w:rsid w:val="EDEB8753"/>
    <w:rsid w:val="EF7B7673"/>
    <w:rsid w:val="EF7E76DA"/>
    <w:rsid w:val="EFB3AF81"/>
    <w:rsid w:val="EFDEA3F3"/>
    <w:rsid w:val="EFEF4AF3"/>
    <w:rsid w:val="EFFF9216"/>
    <w:rsid w:val="F1FB925C"/>
    <w:rsid w:val="F23756D1"/>
    <w:rsid w:val="F345460C"/>
    <w:rsid w:val="F3E70A1A"/>
    <w:rsid w:val="F6FE52AC"/>
    <w:rsid w:val="F70CCF54"/>
    <w:rsid w:val="F78BD5F7"/>
    <w:rsid w:val="F78EC6CA"/>
    <w:rsid w:val="F7BF549A"/>
    <w:rsid w:val="F7D72AEC"/>
    <w:rsid w:val="F7DAF9B3"/>
    <w:rsid w:val="F7F6594F"/>
    <w:rsid w:val="F7FBEC89"/>
    <w:rsid w:val="F8BE43B0"/>
    <w:rsid w:val="F97C2142"/>
    <w:rsid w:val="F9BFD40C"/>
    <w:rsid w:val="F9EF6C02"/>
    <w:rsid w:val="FAFF75C1"/>
    <w:rsid w:val="FAFF78D5"/>
    <w:rsid w:val="FAFFF9B0"/>
    <w:rsid w:val="FB7BA37D"/>
    <w:rsid w:val="FBFB5411"/>
    <w:rsid w:val="FC9D4F63"/>
    <w:rsid w:val="FCB6C34F"/>
    <w:rsid w:val="FCDB1FE3"/>
    <w:rsid w:val="FD77BB3C"/>
    <w:rsid w:val="FDA58462"/>
    <w:rsid w:val="FDF1D9D8"/>
    <w:rsid w:val="FDFA3E60"/>
    <w:rsid w:val="FDFF1294"/>
    <w:rsid w:val="FDFFF6E4"/>
    <w:rsid w:val="FE7FB48E"/>
    <w:rsid w:val="FE9F0483"/>
    <w:rsid w:val="FEB7C006"/>
    <w:rsid w:val="FEDB4EF3"/>
    <w:rsid w:val="FEFF5626"/>
    <w:rsid w:val="FF4BCD03"/>
    <w:rsid w:val="FF66525D"/>
    <w:rsid w:val="FF6FC576"/>
    <w:rsid w:val="FF7A3E4D"/>
    <w:rsid w:val="FFB566AF"/>
    <w:rsid w:val="FFBD4A12"/>
    <w:rsid w:val="FFBE6975"/>
    <w:rsid w:val="FFBFA105"/>
    <w:rsid w:val="FFC32BA8"/>
    <w:rsid w:val="FFEF45BE"/>
    <w:rsid w:val="FFF77FC3"/>
    <w:rsid w:val="FFFA6016"/>
    <w:rsid w:val="FFFAFC37"/>
    <w:rsid w:val="FFFCCD96"/>
    <w:rsid w:val="FFFD3C1D"/>
    <w:rsid w:val="FFFD71EF"/>
    <w:rsid w:val="FFFDF5E9"/>
    <w:rsid w:val="FFFEBC0C"/>
    <w:rsid w:val="FFFF2EF1"/>
    <w:rsid w:val="FFFFB5D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99"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pPr>
    <w:rPr>
      <w:rFonts w:ascii="Segoe UI" w:hAnsi="Segoe UI" w:eastAsiaTheme="minorEastAsia" w:cstheme="minorBidi"/>
      <w:sz w:val="24"/>
      <w:szCs w:val="24"/>
      <w:lang w:val="en-US" w:eastAsia="zh-CN" w:bidi="ar-SA"/>
    </w:rPr>
  </w:style>
  <w:style w:type="paragraph" w:styleId="3">
    <w:name w:val="heading 1"/>
    <w:basedOn w:val="1"/>
    <w:next w:val="4"/>
    <w:link w:val="36"/>
    <w:qFormat/>
    <w:uiPriority w:val="9"/>
    <w:pPr>
      <w:keepNext/>
      <w:keepLines/>
      <w:spacing w:before="360" w:after="80"/>
      <w:outlineLvl w:val="0"/>
    </w:pPr>
    <w:rPr>
      <w:rFonts w:ascii="Segoe UI" w:hAnsi="Segoe UI" w:eastAsia="HYXiDengXianF" w:cstheme="majorBidi"/>
      <w:color w:val="0F4761" w:themeColor="accent1" w:themeShade="BF"/>
      <w:sz w:val="40"/>
      <w:szCs w:val="40"/>
    </w:rPr>
  </w:style>
  <w:style w:type="paragraph" w:styleId="5">
    <w:name w:val="heading 2"/>
    <w:basedOn w:val="1"/>
    <w:next w:val="4"/>
    <w:link w:val="37"/>
    <w:semiHidden/>
    <w:unhideWhenUsed/>
    <w:qFormat/>
    <w:uiPriority w:val="9"/>
    <w:pPr>
      <w:keepNext/>
      <w:keepLines/>
      <w:spacing w:before="160" w:after="80"/>
      <w:outlineLvl w:val="1"/>
    </w:pPr>
    <w:rPr>
      <w:rFonts w:ascii="Segoe UI" w:hAnsi="Segoe UI" w:eastAsia="HYXiDengXianF" w:cstheme="majorBidi"/>
      <w:color w:val="0F4761" w:themeColor="accent1" w:themeShade="BF"/>
      <w:sz w:val="32"/>
      <w:szCs w:val="32"/>
    </w:rPr>
  </w:style>
  <w:style w:type="paragraph" w:styleId="6">
    <w:name w:val="heading 3"/>
    <w:basedOn w:val="1"/>
    <w:next w:val="4"/>
    <w:link w:val="38"/>
    <w:semiHidden/>
    <w:unhideWhenUsed/>
    <w:qFormat/>
    <w:uiPriority w:val="9"/>
    <w:pPr>
      <w:keepNext/>
      <w:keepLines/>
      <w:spacing w:before="160" w:after="80"/>
      <w:outlineLvl w:val="2"/>
    </w:pPr>
    <w:rPr>
      <w:rFonts w:eastAsia="HYXiDengXianF" w:cstheme="majorBidi"/>
      <w:color w:val="0F4761" w:themeColor="accent1" w:themeShade="BF"/>
      <w:sz w:val="28"/>
      <w:szCs w:val="28"/>
    </w:rPr>
  </w:style>
  <w:style w:type="paragraph" w:styleId="7">
    <w:name w:val="heading 4"/>
    <w:basedOn w:val="1"/>
    <w:next w:val="4"/>
    <w:link w:val="39"/>
    <w:semiHidden/>
    <w:unhideWhenUsed/>
    <w:qFormat/>
    <w:uiPriority w:val="9"/>
    <w:pPr>
      <w:keepNext/>
      <w:keepLines/>
      <w:spacing w:before="80" w:after="40"/>
      <w:outlineLvl w:val="3"/>
    </w:pPr>
    <w:rPr>
      <w:rFonts w:eastAsia="HYXiDengXianF" w:cstheme="majorBidi"/>
      <w:i/>
      <w:iCs/>
      <w:color w:val="0F4761" w:themeColor="accent1" w:themeShade="BF"/>
    </w:rPr>
  </w:style>
  <w:style w:type="paragraph" w:styleId="8">
    <w:name w:val="heading 5"/>
    <w:basedOn w:val="1"/>
    <w:next w:val="4"/>
    <w:link w:val="40"/>
    <w:semiHidden/>
    <w:unhideWhenUsed/>
    <w:qFormat/>
    <w:uiPriority w:val="9"/>
    <w:pPr>
      <w:keepNext/>
      <w:keepLines/>
      <w:spacing w:before="80" w:after="40"/>
      <w:outlineLvl w:val="4"/>
    </w:pPr>
    <w:rPr>
      <w:rFonts w:eastAsia="HYXiDengXianF" w:cstheme="majorBidi"/>
      <w:color w:val="0F4761" w:themeColor="accent1" w:themeShade="BF"/>
    </w:rPr>
  </w:style>
  <w:style w:type="paragraph" w:styleId="9">
    <w:name w:val="heading 6"/>
    <w:basedOn w:val="1"/>
    <w:next w:val="4"/>
    <w:link w:val="41"/>
    <w:semiHidden/>
    <w:unhideWhenUsed/>
    <w:qFormat/>
    <w:uiPriority w:val="9"/>
    <w:pPr>
      <w:keepNext/>
      <w:keepLines/>
      <w:spacing w:before="40" w:after="0"/>
      <w:outlineLvl w:val="5"/>
    </w:pPr>
    <w:rPr>
      <w:rFonts w:eastAsia="HYXiDengXianF" w:cstheme="majorBidi"/>
      <w:i/>
      <w:iCs/>
      <w:color w:val="585858" w:themeColor="text1" w:themeTint="A6"/>
    </w:rPr>
  </w:style>
  <w:style w:type="paragraph" w:styleId="10">
    <w:name w:val="heading 7"/>
    <w:basedOn w:val="1"/>
    <w:next w:val="4"/>
    <w:link w:val="42"/>
    <w:semiHidden/>
    <w:unhideWhenUsed/>
    <w:qFormat/>
    <w:uiPriority w:val="9"/>
    <w:pPr>
      <w:keepNext/>
      <w:keepLines/>
      <w:spacing w:before="40" w:after="0"/>
      <w:outlineLvl w:val="6"/>
    </w:pPr>
    <w:rPr>
      <w:rFonts w:eastAsia="HYXiDengXianF" w:cstheme="majorBidi"/>
      <w:color w:val="585858" w:themeColor="text1" w:themeTint="A6"/>
    </w:rPr>
  </w:style>
  <w:style w:type="paragraph" w:styleId="11">
    <w:name w:val="heading 8"/>
    <w:basedOn w:val="1"/>
    <w:next w:val="4"/>
    <w:link w:val="43"/>
    <w:semiHidden/>
    <w:unhideWhenUsed/>
    <w:qFormat/>
    <w:uiPriority w:val="9"/>
    <w:pPr>
      <w:keepNext/>
      <w:keepLines/>
      <w:spacing w:after="0"/>
      <w:outlineLvl w:val="7"/>
    </w:pPr>
    <w:rPr>
      <w:rFonts w:eastAsia="HYXiDengXianF" w:cstheme="majorBidi"/>
      <w:i/>
      <w:iCs/>
      <w:color w:val="262626" w:themeColor="text1" w:themeTint="D8"/>
    </w:rPr>
  </w:style>
  <w:style w:type="paragraph" w:styleId="12">
    <w:name w:val="heading 9"/>
    <w:basedOn w:val="1"/>
    <w:next w:val="4"/>
    <w:link w:val="44"/>
    <w:semiHidden/>
    <w:unhideWhenUsed/>
    <w:qFormat/>
    <w:uiPriority w:val="9"/>
    <w:pPr>
      <w:keepNext/>
      <w:keepLines/>
      <w:spacing w:after="0"/>
      <w:outlineLvl w:val="8"/>
    </w:pPr>
    <w:rPr>
      <w:rFonts w:eastAsia="HYXiDengXianF" w:cstheme="majorBidi"/>
      <w:color w:val="262626" w:themeColor="text1" w:themeTint="D8"/>
    </w:rPr>
  </w:style>
  <w:style w:type="character" w:default="1" w:styleId="24">
    <w:name w:val="Default Paragraph Font"/>
    <w:semiHidden/>
    <w:unhideWhenUsed/>
    <w:qFormat/>
    <w:uiPriority w:val="0"/>
  </w:style>
  <w:style w:type="table" w:default="1" w:styleId="23">
    <w:name w:val="Normal Table"/>
    <w:qFormat/>
    <w:uiPriority w:val="0"/>
    <w:tblPr>
      <w:tblCellMar>
        <w:top w:w="0" w:type="dxa"/>
        <w:left w:w="108" w:type="dxa"/>
        <w:bottom w:w="0" w:type="dxa"/>
        <w:right w:w="108" w:type="dxa"/>
      </w:tblCellMar>
    </w:tblPr>
  </w:style>
  <w:style w:type="paragraph" w:styleId="2">
    <w:name w:val="Salutation"/>
    <w:basedOn w:val="1"/>
    <w:next w:val="1"/>
    <w:qFormat/>
    <w:uiPriority w:val="99"/>
    <w:pPr>
      <w:textAlignment w:val="baseline"/>
    </w:pPr>
    <w:rPr>
      <w:rFonts w:ascii="Times New Roman" w:hAnsi="Times New Roman" w:eastAsia="仿宋_GB2312"/>
      <w:sz w:val="32"/>
    </w:rPr>
  </w:style>
  <w:style w:type="paragraph" w:styleId="4">
    <w:name w:val="Body Text"/>
    <w:basedOn w:val="1"/>
    <w:link w:val="26"/>
    <w:qFormat/>
    <w:uiPriority w:val="0"/>
    <w:pPr>
      <w:spacing w:before="180" w:after="180"/>
    </w:pPr>
  </w:style>
  <w:style w:type="paragraph" w:styleId="13">
    <w:name w:val="Normal Indent"/>
    <w:basedOn w:val="1"/>
    <w:next w:val="1"/>
    <w:qFormat/>
    <w:uiPriority w:val="0"/>
    <w:pPr>
      <w:ind w:firstLine="420" w:firstLineChars="200"/>
    </w:pPr>
  </w:style>
  <w:style w:type="paragraph" w:styleId="14">
    <w:name w:val="caption"/>
    <w:basedOn w:val="1"/>
    <w:next w:val="1"/>
    <w:qFormat/>
    <w:uiPriority w:val="0"/>
    <w:pPr>
      <w:spacing w:before="0" w:after="120"/>
    </w:pPr>
    <w:rPr>
      <w:i/>
    </w:rPr>
  </w:style>
  <w:style w:type="paragraph" w:styleId="15">
    <w:name w:val="annotation text"/>
    <w:basedOn w:val="1"/>
    <w:qFormat/>
    <w:uiPriority w:val="0"/>
    <w:pPr>
      <w:jc w:val="left"/>
    </w:pPr>
  </w:style>
  <w:style w:type="paragraph" w:styleId="16">
    <w:name w:val="Block Text"/>
    <w:basedOn w:val="4"/>
    <w:next w:val="4"/>
    <w:unhideWhenUsed/>
    <w:qFormat/>
    <w:uiPriority w:val="9"/>
    <w:pPr>
      <w:spacing w:before="100" w:after="100"/>
      <w:ind w:left="480" w:right="480" w:firstLine="0"/>
    </w:pPr>
  </w:style>
  <w:style w:type="paragraph" w:styleId="17">
    <w:name w:val="Date"/>
    <w:basedOn w:val="18"/>
    <w:next w:val="4"/>
    <w:qFormat/>
    <w:uiPriority w:val="0"/>
    <w:pPr>
      <w:keepNext/>
      <w:keepLines/>
    </w:pPr>
    <w:rPr>
      <w:sz w:val="24"/>
      <w:szCs w:val="24"/>
    </w:rPr>
  </w:style>
  <w:style w:type="paragraph" w:styleId="18">
    <w:name w:val="Title"/>
    <w:basedOn w:val="1"/>
    <w:next w:val="4"/>
    <w:link w:val="30"/>
    <w:qFormat/>
    <w:uiPriority w:val="10"/>
    <w:pPr>
      <w:spacing w:after="80" w:line="240" w:lineRule="auto"/>
      <w:contextualSpacing/>
      <w:jc w:val="center"/>
    </w:pPr>
    <w:rPr>
      <w:rFonts w:ascii="Segoe UI" w:hAnsi="Segoe UI" w:eastAsia="HYXiDengXianF" w:cstheme="majorBidi"/>
      <w:sz w:val="56"/>
      <w:szCs w:val="56"/>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Subtitle"/>
    <w:basedOn w:val="18"/>
    <w:next w:val="4"/>
    <w:link w:val="31"/>
    <w:qFormat/>
    <w:uiPriority w:val="11"/>
    <w:rPr>
      <w:rFonts w:eastAsia="HYXiDengXianF" w:cstheme="majorBidi"/>
      <w:spacing w:val="15"/>
      <w:sz w:val="28"/>
      <w:szCs w:val="28"/>
    </w:rPr>
  </w:style>
  <w:style w:type="paragraph" w:styleId="22">
    <w:name w:val="footnote text"/>
    <w:basedOn w:val="1"/>
    <w:unhideWhenUsed/>
    <w:qFormat/>
    <w:uiPriority w:val="9"/>
  </w:style>
  <w:style w:type="character" w:styleId="25">
    <w:name w:val="Hyperlink"/>
    <w:basedOn w:val="26"/>
    <w:qFormat/>
    <w:uiPriority w:val="0"/>
    <w:rPr>
      <w:color w:val="156082" w:themeColor="accent1"/>
    </w:rPr>
  </w:style>
  <w:style w:type="character" w:customStyle="1" w:styleId="26">
    <w:name w:val="Body Text Char"/>
    <w:basedOn w:val="24"/>
    <w:link w:val="4"/>
    <w:qFormat/>
    <w:uiPriority w:val="0"/>
  </w:style>
  <w:style w:type="character" w:styleId="27">
    <w:name w:val="footnote reference"/>
    <w:basedOn w:val="26"/>
    <w:qFormat/>
    <w:uiPriority w:val="0"/>
    <w:rPr>
      <w:vertAlign w:val="superscript"/>
    </w:rPr>
  </w:style>
  <w:style w:type="paragraph" w:customStyle="1" w:styleId="28">
    <w:name w:val="First Paragraph"/>
    <w:basedOn w:val="4"/>
    <w:next w:val="4"/>
    <w:qFormat/>
    <w:uiPriority w:val="0"/>
  </w:style>
  <w:style w:type="paragraph" w:customStyle="1" w:styleId="29">
    <w:name w:val="Compact"/>
    <w:basedOn w:val="4"/>
    <w:qFormat/>
    <w:uiPriority w:val="0"/>
    <w:pPr>
      <w:spacing w:before="36" w:after="36"/>
    </w:pPr>
  </w:style>
  <w:style w:type="character" w:customStyle="1" w:styleId="30">
    <w:name w:val="Title Char"/>
    <w:basedOn w:val="24"/>
    <w:link w:val="18"/>
    <w:qFormat/>
    <w:uiPriority w:val="10"/>
    <w:rPr>
      <w:rFonts w:ascii="Segoe UI" w:hAnsi="Segoe UI" w:eastAsia="HYXiDengXianF" w:cstheme="majorBidi"/>
      <w:sz w:val="56"/>
      <w:szCs w:val="56"/>
    </w:rPr>
  </w:style>
  <w:style w:type="character" w:customStyle="1" w:styleId="31">
    <w:name w:val="Subtitle Char"/>
    <w:basedOn w:val="24"/>
    <w:link w:val="21"/>
    <w:qFormat/>
    <w:uiPriority w:val="11"/>
    <w:rPr>
      <w:rFonts w:eastAsia="HYXiDengXianF" w:cstheme="majorBidi"/>
      <w:color w:val="585858" w:themeColor="text1" w:themeTint="A6"/>
      <w:spacing w:val="15"/>
      <w:sz w:val="28"/>
      <w:szCs w:val="28"/>
    </w:rPr>
  </w:style>
  <w:style w:type="paragraph" w:customStyle="1" w:styleId="32">
    <w:name w:val="Author"/>
    <w:basedOn w:val="18"/>
    <w:next w:val="4"/>
    <w:qFormat/>
    <w:uiPriority w:val="0"/>
    <w:pPr>
      <w:keepNext/>
      <w:keepLines/>
    </w:pPr>
    <w:rPr>
      <w:sz w:val="24"/>
      <w:szCs w:val="24"/>
    </w:rPr>
  </w:style>
  <w:style w:type="paragraph" w:customStyle="1" w:styleId="33">
    <w:name w:val="Abstract Title"/>
    <w:basedOn w:val="1"/>
    <w:next w:val="34"/>
    <w:qFormat/>
    <w:uiPriority w:val="0"/>
    <w:pPr>
      <w:keepNext/>
      <w:keepLines/>
      <w:spacing w:before="300" w:after="0"/>
      <w:jc w:val="center"/>
    </w:pPr>
    <w:rPr>
      <w:b/>
      <w:sz w:val="20"/>
      <w:szCs w:val="20"/>
    </w:rPr>
  </w:style>
  <w:style w:type="paragraph" w:customStyle="1" w:styleId="34">
    <w:name w:val="Abstract"/>
    <w:basedOn w:val="1"/>
    <w:next w:val="4"/>
    <w:qFormat/>
    <w:uiPriority w:val="0"/>
    <w:pPr>
      <w:keepNext/>
      <w:keepLines/>
      <w:spacing w:before="100" w:after="300"/>
    </w:pPr>
    <w:rPr>
      <w:sz w:val="20"/>
      <w:szCs w:val="20"/>
    </w:rPr>
  </w:style>
  <w:style w:type="paragraph" w:customStyle="1" w:styleId="35">
    <w:name w:val="Bibliography"/>
    <w:basedOn w:val="1"/>
    <w:qFormat/>
    <w:uiPriority w:val="0"/>
  </w:style>
  <w:style w:type="character" w:customStyle="1" w:styleId="36">
    <w:name w:val="Heading 1 Char"/>
    <w:basedOn w:val="24"/>
    <w:link w:val="3"/>
    <w:qFormat/>
    <w:uiPriority w:val="9"/>
    <w:rPr>
      <w:rFonts w:ascii="Segoe UI" w:hAnsi="Segoe UI" w:eastAsia="HYXiDengXianF" w:cstheme="majorBidi"/>
      <w:color w:val="0F4761" w:themeColor="accent1" w:themeShade="BF"/>
      <w:sz w:val="40"/>
      <w:szCs w:val="40"/>
    </w:rPr>
  </w:style>
  <w:style w:type="character" w:customStyle="1" w:styleId="37">
    <w:name w:val="Heading 2 Char"/>
    <w:basedOn w:val="24"/>
    <w:link w:val="5"/>
    <w:semiHidden/>
    <w:qFormat/>
    <w:uiPriority w:val="9"/>
    <w:rPr>
      <w:rFonts w:ascii="Segoe UI" w:hAnsi="Segoe UI" w:eastAsia="HYXiDengXianF" w:cstheme="majorBidi"/>
      <w:color w:val="0F4761" w:themeColor="accent1" w:themeShade="BF"/>
      <w:sz w:val="32"/>
      <w:szCs w:val="32"/>
    </w:rPr>
  </w:style>
  <w:style w:type="character" w:customStyle="1" w:styleId="38">
    <w:name w:val="Heading 3 Char"/>
    <w:basedOn w:val="24"/>
    <w:link w:val="6"/>
    <w:semiHidden/>
    <w:qFormat/>
    <w:uiPriority w:val="9"/>
    <w:rPr>
      <w:rFonts w:eastAsia="HYXiDengXianF" w:cstheme="majorBidi"/>
      <w:color w:val="0F4761" w:themeColor="accent1" w:themeShade="BF"/>
      <w:sz w:val="28"/>
      <w:szCs w:val="28"/>
    </w:rPr>
  </w:style>
  <w:style w:type="character" w:customStyle="1" w:styleId="39">
    <w:name w:val="Heading 4 Char"/>
    <w:basedOn w:val="24"/>
    <w:link w:val="7"/>
    <w:semiHidden/>
    <w:qFormat/>
    <w:uiPriority w:val="9"/>
    <w:rPr>
      <w:rFonts w:eastAsia="HYXiDengXianF" w:cstheme="majorBidi"/>
      <w:i/>
      <w:iCs/>
      <w:color w:val="0F4761" w:themeColor="accent1" w:themeShade="BF"/>
    </w:rPr>
  </w:style>
  <w:style w:type="character" w:customStyle="1" w:styleId="40">
    <w:name w:val="Heading 5 Char"/>
    <w:basedOn w:val="24"/>
    <w:link w:val="8"/>
    <w:semiHidden/>
    <w:qFormat/>
    <w:uiPriority w:val="9"/>
    <w:rPr>
      <w:rFonts w:eastAsia="HYXiDengXianF" w:cstheme="majorBidi"/>
      <w:color w:val="0F4761" w:themeColor="accent1" w:themeShade="BF"/>
    </w:rPr>
  </w:style>
  <w:style w:type="character" w:customStyle="1" w:styleId="41">
    <w:name w:val="Heading 6 Char"/>
    <w:basedOn w:val="24"/>
    <w:link w:val="9"/>
    <w:semiHidden/>
    <w:qFormat/>
    <w:uiPriority w:val="9"/>
    <w:rPr>
      <w:rFonts w:eastAsia="HYXiDengXianF" w:cstheme="majorBidi"/>
      <w:i/>
      <w:iCs/>
      <w:color w:val="585858" w:themeColor="text1" w:themeTint="A6"/>
    </w:rPr>
  </w:style>
  <w:style w:type="character" w:customStyle="1" w:styleId="42">
    <w:name w:val="Heading 7 Char"/>
    <w:basedOn w:val="24"/>
    <w:link w:val="10"/>
    <w:semiHidden/>
    <w:qFormat/>
    <w:uiPriority w:val="9"/>
    <w:rPr>
      <w:rFonts w:eastAsia="HYXiDengXianF" w:cstheme="majorBidi"/>
      <w:color w:val="585858" w:themeColor="text1" w:themeTint="A6"/>
    </w:rPr>
  </w:style>
  <w:style w:type="character" w:customStyle="1" w:styleId="43">
    <w:name w:val="Heading 8 Char"/>
    <w:basedOn w:val="24"/>
    <w:link w:val="11"/>
    <w:semiHidden/>
    <w:qFormat/>
    <w:uiPriority w:val="9"/>
    <w:rPr>
      <w:rFonts w:eastAsia="HYXiDengXianF" w:cstheme="majorBidi"/>
      <w:i/>
      <w:iCs/>
      <w:color w:val="262626" w:themeColor="text1" w:themeTint="D8"/>
    </w:rPr>
  </w:style>
  <w:style w:type="character" w:customStyle="1" w:styleId="44">
    <w:name w:val="Heading 9 Char"/>
    <w:basedOn w:val="24"/>
    <w:link w:val="12"/>
    <w:semiHidden/>
    <w:qFormat/>
    <w:uiPriority w:val="9"/>
    <w:rPr>
      <w:rFonts w:eastAsia="HYXiDengXianF" w:cstheme="majorBidi"/>
      <w:color w:val="262626" w:themeColor="text1" w:themeTint="D8"/>
    </w:rPr>
  </w:style>
  <w:style w:type="paragraph" w:customStyle="1" w:styleId="45">
    <w:name w:val="Footnote Block Text"/>
    <w:basedOn w:val="22"/>
    <w:next w:val="22"/>
    <w:unhideWhenUsed/>
    <w:qFormat/>
    <w:uiPriority w:val="9"/>
    <w:pPr>
      <w:spacing w:before="100" w:after="100"/>
      <w:ind w:left="480" w:right="480" w:firstLine="0"/>
    </w:pPr>
  </w:style>
  <w:style w:type="table" w:customStyle="1" w:styleId="46">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7">
    <w:name w:val="Definition Term"/>
    <w:basedOn w:val="1"/>
    <w:next w:val="48"/>
    <w:qFormat/>
    <w:uiPriority w:val="0"/>
    <w:pPr>
      <w:keepNext/>
      <w:keepLines/>
      <w:spacing w:after="0"/>
    </w:pPr>
    <w:rPr>
      <w:b/>
    </w:rPr>
  </w:style>
  <w:style w:type="paragraph" w:customStyle="1" w:styleId="48">
    <w:name w:val="Definition"/>
    <w:basedOn w:val="1"/>
    <w:qFormat/>
    <w:uiPriority w:val="0"/>
  </w:style>
  <w:style w:type="paragraph" w:customStyle="1" w:styleId="49">
    <w:name w:val="Table Caption"/>
    <w:basedOn w:val="14"/>
    <w:qFormat/>
    <w:uiPriority w:val="0"/>
    <w:pPr>
      <w:keepNext/>
    </w:pPr>
  </w:style>
  <w:style w:type="paragraph" w:customStyle="1" w:styleId="50">
    <w:name w:val="Image Caption"/>
    <w:basedOn w:val="14"/>
    <w:qFormat/>
    <w:uiPriority w:val="0"/>
  </w:style>
  <w:style w:type="paragraph" w:customStyle="1" w:styleId="51">
    <w:name w:val="Figure"/>
    <w:basedOn w:val="1"/>
    <w:qFormat/>
    <w:uiPriority w:val="0"/>
  </w:style>
  <w:style w:type="paragraph" w:customStyle="1" w:styleId="52">
    <w:name w:val="Captioned Figure"/>
    <w:basedOn w:val="51"/>
    <w:qFormat/>
    <w:uiPriority w:val="0"/>
    <w:pPr>
      <w:keepNext/>
    </w:pPr>
  </w:style>
  <w:style w:type="character" w:customStyle="1" w:styleId="53">
    <w:name w:val="Verbatim Char"/>
    <w:basedOn w:val="26"/>
    <w:link w:val="54"/>
    <w:qFormat/>
    <w:uiPriority w:val="0"/>
    <w:rPr>
      <w:rFonts w:ascii="Consolas" w:hAnsi="Consolas"/>
      <w:sz w:val="22"/>
    </w:rPr>
  </w:style>
  <w:style w:type="paragraph" w:customStyle="1" w:styleId="54">
    <w:name w:val="Source Code"/>
    <w:basedOn w:val="1"/>
    <w:link w:val="53"/>
    <w:qFormat/>
    <w:uiPriority w:val="0"/>
    <w:pPr>
      <w:wordWrap w:val="0"/>
    </w:pPr>
  </w:style>
  <w:style w:type="character" w:customStyle="1" w:styleId="55">
    <w:name w:val="Section Number"/>
    <w:basedOn w:val="26"/>
    <w:qFormat/>
    <w:uiPriority w:val="0"/>
  </w:style>
  <w:style w:type="paragraph" w:customStyle="1" w:styleId="56">
    <w:name w:val="TOC Heading"/>
    <w:basedOn w:val="3"/>
    <w:next w:val="4"/>
    <w:unhideWhenUsed/>
    <w:qFormat/>
    <w:uiPriority w:val="39"/>
    <w:pPr>
      <w:spacing w:before="240" w:line="259" w:lineRule="auto"/>
      <w:outlineLvl w:val="9"/>
    </w:pPr>
    <w:rPr>
      <w:rFonts w:ascii="Segoe UI" w:hAnsi="Segoe UI" w:eastAsia="HYXiDengXianF" w:cstheme="majorBidi"/>
      <w:color w:val="0F4761" w:themeColor="accent1" w:themeShade="BF"/>
    </w:rPr>
  </w:style>
  <w:style w:type="character" w:customStyle="1" w:styleId="57">
    <w:name w:val="KeywordTok"/>
    <w:basedOn w:val="53"/>
    <w:qFormat/>
    <w:uiPriority w:val="0"/>
    <w:rPr>
      <w:b/>
      <w:color w:val="007020"/>
    </w:rPr>
  </w:style>
  <w:style w:type="character" w:customStyle="1" w:styleId="58">
    <w:name w:val="DataTypeTok"/>
    <w:basedOn w:val="53"/>
    <w:qFormat/>
    <w:uiPriority w:val="0"/>
    <w:rPr>
      <w:color w:val="902000"/>
    </w:rPr>
  </w:style>
  <w:style w:type="character" w:customStyle="1" w:styleId="59">
    <w:name w:val="DecValTok"/>
    <w:basedOn w:val="53"/>
    <w:qFormat/>
    <w:uiPriority w:val="0"/>
    <w:rPr>
      <w:color w:val="40A070"/>
    </w:rPr>
  </w:style>
  <w:style w:type="character" w:customStyle="1" w:styleId="60">
    <w:name w:val="BaseNTok"/>
    <w:basedOn w:val="53"/>
    <w:qFormat/>
    <w:uiPriority w:val="0"/>
    <w:rPr>
      <w:color w:val="40A070"/>
    </w:rPr>
  </w:style>
  <w:style w:type="character" w:customStyle="1" w:styleId="61">
    <w:name w:val="FloatTok"/>
    <w:basedOn w:val="53"/>
    <w:qFormat/>
    <w:uiPriority w:val="0"/>
    <w:rPr>
      <w:color w:val="40A070"/>
    </w:rPr>
  </w:style>
  <w:style w:type="character" w:customStyle="1" w:styleId="62">
    <w:name w:val="ConstantTok"/>
    <w:basedOn w:val="53"/>
    <w:qFormat/>
    <w:uiPriority w:val="0"/>
    <w:rPr>
      <w:color w:val="880000"/>
    </w:rPr>
  </w:style>
  <w:style w:type="character" w:customStyle="1" w:styleId="63">
    <w:name w:val="CharTok"/>
    <w:basedOn w:val="53"/>
    <w:qFormat/>
    <w:uiPriority w:val="0"/>
    <w:rPr>
      <w:color w:val="4070A0"/>
    </w:rPr>
  </w:style>
  <w:style w:type="character" w:customStyle="1" w:styleId="64">
    <w:name w:val="SpecialCharTok"/>
    <w:basedOn w:val="53"/>
    <w:qFormat/>
    <w:uiPriority w:val="0"/>
    <w:rPr>
      <w:color w:val="4070A0"/>
    </w:rPr>
  </w:style>
  <w:style w:type="character" w:customStyle="1" w:styleId="65">
    <w:name w:val="StringTok"/>
    <w:basedOn w:val="53"/>
    <w:qFormat/>
    <w:uiPriority w:val="0"/>
    <w:rPr>
      <w:color w:val="4070A0"/>
    </w:rPr>
  </w:style>
  <w:style w:type="character" w:customStyle="1" w:styleId="66">
    <w:name w:val="VerbatimStringTok"/>
    <w:basedOn w:val="53"/>
    <w:qFormat/>
    <w:uiPriority w:val="0"/>
    <w:rPr>
      <w:color w:val="4070A0"/>
    </w:rPr>
  </w:style>
  <w:style w:type="character" w:customStyle="1" w:styleId="67">
    <w:name w:val="SpecialStringTok"/>
    <w:basedOn w:val="53"/>
    <w:qFormat/>
    <w:uiPriority w:val="0"/>
    <w:rPr>
      <w:color w:val="BB6688"/>
    </w:rPr>
  </w:style>
  <w:style w:type="character" w:customStyle="1" w:styleId="68">
    <w:name w:val="ImportTok"/>
    <w:basedOn w:val="53"/>
    <w:qFormat/>
    <w:uiPriority w:val="0"/>
    <w:rPr>
      <w:b/>
      <w:color w:val="008000"/>
    </w:rPr>
  </w:style>
  <w:style w:type="character" w:customStyle="1" w:styleId="69">
    <w:name w:val="CommentTok"/>
    <w:basedOn w:val="53"/>
    <w:qFormat/>
    <w:uiPriority w:val="0"/>
    <w:rPr>
      <w:i/>
      <w:color w:val="60A0B0"/>
    </w:rPr>
  </w:style>
  <w:style w:type="character" w:customStyle="1" w:styleId="70">
    <w:name w:val="DocumentationTok"/>
    <w:basedOn w:val="53"/>
    <w:qFormat/>
    <w:uiPriority w:val="0"/>
    <w:rPr>
      <w:i/>
      <w:color w:val="BA2121"/>
    </w:rPr>
  </w:style>
  <w:style w:type="character" w:customStyle="1" w:styleId="71">
    <w:name w:val="AnnotationTok"/>
    <w:basedOn w:val="53"/>
    <w:qFormat/>
    <w:uiPriority w:val="0"/>
    <w:rPr>
      <w:b/>
      <w:i/>
      <w:color w:val="60A0B0"/>
    </w:rPr>
  </w:style>
  <w:style w:type="character" w:customStyle="1" w:styleId="72">
    <w:name w:val="CommentVarTok"/>
    <w:basedOn w:val="53"/>
    <w:qFormat/>
    <w:uiPriority w:val="0"/>
    <w:rPr>
      <w:b/>
      <w:i/>
      <w:color w:val="60A0B0"/>
    </w:rPr>
  </w:style>
  <w:style w:type="character" w:customStyle="1" w:styleId="73">
    <w:name w:val="OtherTok"/>
    <w:basedOn w:val="53"/>
    <w:qFormat/>
    <w:uiPriority w:val="0"/>
    <w:rPr>
      <w:color w:val="007020"/>
    </w:rPr>
  </w:style>
  <w:style w:type="character" w:customStyle="1" w:styleId="74">
    <w:name w:val="FunctionTok"/>
    <w:basedOn w:val="53"/>
    <w:qFormat/>
    <w:uiPriority w:val="0"/>
    <w:rPr>
      <w:color w:val="06287E"/>
    </w:rPr>
  </w:style>
  <w:style w:type="character" w:customStyle="1" w:styleId="75">
    <w:name w:val="VariableTok"/>
    <w:basedOn w:val="53"/>
    <w:qFormat/>
    <w:uiPriority w:val="0"/>
    <w:rPr>
      <w:color w:val="19177C"/>
    </w:rPr>
  </w:style>
  <w:style w:type="character" w:customStyle="1" w:styleId="76">
    <w:name w:val="ControlFlowTok"/>
    <w:basedOn w:val="53"/>
    <w:qFormat/>
    <w:uiPriority w:val="0"/>
    <w:rPr>
      <w:b/>
      <w:color w:val="007020"/>
    </w:rPr>
  </w:style>
  <w:style w:type="character" w:customStyle="1" w:styleId="77">
    <w:name w:val="OperatorTok"/>
    <w:basedOn w:val="53"/>
    <w:qFormat/>
    <w:uiPriority w:val="0"/>
    <w:rPr>
      <w:color w:val="666666"/>
    </w:rPr>
  </w:style>
  <w:style w:type="character" w:customStyle="1" w:styleId="78">
    <w:name w:val="BuiltInTok"/>
    <w:basedOn w:val="53"/>
    <w:qFormat/>
    <w:uiPriority w:val="0"/>
    <w:rPr>
      <w:color w:val="008000"/>
    </w:rPr>
  </w:style>
  <w:style w:type="character" w:customStyle="1" w:styleId="79">
    <w:name w:val="ExtensionTok"/>
    <w:basedOn w:val="53"/>
    <w:qFormat/>
    <w:uiPriority w:val="0"/>
  </w:style>
  <w:style w:type="character" w:customStyle="1" w:styleId="80">
    <w:name w:val="PreprocessorTok"/>
    <w:basedOn w:val="53"/>
    <w:qFormat/>
    <w:uiPriority w:val="0"/>
    <w:rPr>
      <w:color w:val="BC7A00"/>
    </w:rPr>
  </w:style>
  <w:style w:type="character" w:customStyle="1" w:styleId="81">
    <w:name w:val="AttributeTok"/>
    <w:basedOn w:val="53"/>
    <w:qFormat/>
    <w:uiPriority w:val="0"/>
    <w:rPr>
      <w:color w:val="7D9029"/>
    </w:rPr>
  </w:style>
  <w:style w:type="character" w:customStyle="1" w:styleId="82">
    <w:name w:val="RegionMarkerTok"/>
    <w:basedOn w:val="53"/>
    <w:qFormat/>
    <w:uiPriority w:val="0"/>
  </w:style>
  <w:style w:type="character" w:customStyle="1" w:styleId="83">
    <w:name w:val="InformationTok"/>
    <w:basedOn w:val="53"/>
    <w:qFormat/>
    <w:uiPriority w:val="0"/>
    <w:rPr>
      <w:b/>
      <w:i/>
      <w:color w:val="60A0B0"/>
    </w:rPr>
  </w:style>
  <w:style w:type="character" w:customStyle="1" w:styleId="84">
    <w:name w:val="WarningTok"/>
    <w:basedOn w:val="53"/>
    <w:qFormat/>
    <w:uiPriority w:val="0"/>
    <w:rPr>
      <w:b/>
      <w:i/>
      <w:color w:val="60A0B0"/>
    </w:rPr>
  </w:style>
  <w:style w:type="character" w:customStyle="1" w:styleId="85">
    <w:name w:val="AlertTok"/>
    <w:basedOn w:val="53"/>
    <w:qFormat/>
    <w:uiPriority w:val="0"/>
    <w:rPr>
      <w:b/>
      <w:color w:val="FF0000"/>
    </w:rPr>
  </w:style>
  <w:style w:type="character" w:customStyle="1" w:styleId="86">
    <w:name w:val="ErrorTok"/>
    <w:basedOn w:val="53"/>
    <w:qFormat/>
    <w:uiPriority w:val="0"/>
    <w:rPr>
      <w:b/>
      <w:color w:val="FF0000"/>
    </w:rPr>
  </w:style>
  <w:style w:type="character" w:customStyle="1" w:styleId="87">
    <w:name w:val="NormalTok"/>
    <w:basedOn w:val="5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2303</Words>
  <Characters>2313</Characters>
  <Lines>12</Lines>
  <Paragraphs>8</Paragraphs>
  <TotalTime>3</TotalTime>
  <ScaleCrop>false</ScaleCrop>
  <LinksUpToDate>false</LinksUpToDate>
  <CharactersWithSpaces>2350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2026-06-26T10:14:00Z</dcterms:created>
  <dc:creator>同</dc:creator>
  <cp:lastModifiedBy>user</cp:lastModifiedBy>
  <cp:lastPrinted>2026-09-22T18:04:00Z</cp:lastPrinted>
  <dcterms:modified xsi:type="dcterms:W3CDTF">2026-10-23T16:58:46Z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eyJoZGlkIjoiZjc3NmRjNGMwNDlhZDRiMGVjYWFmZjdmNmRmODc1MWUiLCJ1c2VySWQiOiIzNTE1ODYwNjYifQ==</vt:lpwstr>
  </property>
  <property fmtid="{D5CDD505-2E9C-101B-9397-08002B2CF9AE}" pid="3" name="KSOProductBuildVer">
    <vt:lpwstr>2052-11.8.2.10386</vt:lpwstr>
  </property>
  <property fmtid="{D5CDD505-2E9C-101B-9397-08002B2CF9AE}" pid="4" name="ICV">
    <vt:lpwstr>B90D50C9A9F643CA96350978FF7A0F76_12</vt:lpwstr>
  </property>
</Properties>
</file>