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8" w:lineRule="exact"/>
        <w:jc w:val="center"/>
        <w:rPr>
          <w:rFonts w:hint="eastAsia" w:ascii="Times New Roman" w:hAnsi="Times New Roman" w:eastAsia="方正小标宋简体" w:cs="Times New Roman"/>
          <w:sz w:val="44"/>
          <w:szCs w:val="44"/>
          <w:lang w:val="en-US" w:eastAsia="zh-CN" w:bidi="ar"/>
        </w:rPr>
      </w:pPr>
      <w:r>
        <w:rPr>
          <w:rFonts w:hint="eastAsia" w:ascii="Times New Roman" w:hAnsi="Times New Roman" w:eastAsia="方正小标宋简体" w:cs="Times New Roman"/>
          <w:sz w:val="44"/>
          <w:szCs w:val="44"/>
          <w:lang w:val="en-US" w:eastAsia="zh-CN" w:bidi="ar"/>
        </w:rPr>
        <w:t>三亚市市级文物保护单位安防建设设计方案</w:t>
      </w:r>
    </w:p>
    <w:p>
      <w:pPr>
        <w:keepNext w:val="0"/>
        <w:keepLines w:val="0"/>
        <w:pageBreakBefore w:val="0"/>
        <w:kinsoku/>
        <w:wordWrap/>
        <w:overflowPunct/>
        <w:topLinePunct w:val="0"/>
        <w:autoSpaceDE/>
        <w:autoSpaceDN/>
        <w:bidi w:val="0"/>
        <w:adjustRightInd/>
        <w:snapToGrid/>
        <w:spacing w:line="578" w:lineRule="exact"/>
        <w:jc w:val="center"/>
        <w:rPr>
          <w:rFonts w:hint="eastAsia" w:ascii="Times New Roman" w:hAnsi="Times New Roman" w:eastAsia="方正小标宋简体" w:cs="Times New Roman"/>
          <w:sz w:val="44"/>
          <w:szCs w:val="44"/>
          <w:lang w:val="en-US" w:eastAsia="zh-CN" w:bidi="ar"/>
        </w:rPr>
      </w:pPr>
      <w:r>
        <w:rPr>
          <w:rFonts w:hint="eastAsia" w:ascii="Times New Roman" w:hAnsi="Times New Roman" w:eastAsia="方正小标宋简体" w:cs="Times New Roman"/>
          <w:sz w:val="44"/>
          <w:szCs w:val="44"/>
          <w:lang w:val="en-US" w:eastAsia="zh-CN" w:bidi="ar"/>
        </w:rPr>
        <w:t>编制项目采购需求方案</w:t>
      </w:r>
    </w:p>
    <w:p>
      <w:pPr>
        <w:keepNext w:val="0"/>
        <w:keepLines w:val="0"/>
        <w:pageBreakBefore w:val="0"/>
        <w:kinsoku/>
        <w:wordWrap/>
        <w:overflowPunct/>
        <w:topLinePunct w:val="0"/>
        <w:autoSpaceDE/>
        <w:autoSpaceDN/>
        <w:bidi w:val="0"/>
        <w:adjustRightInd/>
        <w:snapToGrid/>
        <w:spacing w:line="579" w:lineRule="exact"/>
        <w:jc w:val="both"/>
        <w:rPr>
          <w:rFonts w:hint="default" w:ascii="Times New Roman" w:hAnsi="Times New Roman" w:eastAsia="仿宋_GB2312" w:cs="Times New Roman"/>
          <w:b w:val="0"/>
          <w:bCs w:val="0"/>
          <w:sz w:val="32"/>
          <w:szCs w:val="32"/>
        </w:rPr>
      </w:pP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sz w:val="32"/>
          <w:szCs w:val="32"/>
          <w:lang w:eastAsia="zh-CN"/>
        </w:rPr>
        <w:t>为落实省旅文厅《关于全面做好旅游文化广电体育领域安全隐患排查和整改有关工作的通知》要求，对照《文物行业重大事故隐患特征清单》补齐我市 11 处</w:t>
      </w:r>
      <w:r>
        <w:rPr>
          <w:rFonts w:hint="eastAsia" w:ascii="Times New Roman" w:hAnsi="Times New Roman" w:eastAsia="仿宋_GB2312" w:cs="Times New Roman"/>
          <w:color w:val="auto"/>
          <w:sz w:val="32"/>
          <w:szCs w:val="32"/>
          <w:lang w:eastAsia="zh-CN"/>
        </w:rPr>
        <w:t>市级文物保护单位</w:t>
      </w:r>
      <w:r>
        <w:rPr>
          <w:rFonts w:hint="default" w:ascii="Times New Roman" w:hAnsi="Times New Roman" w:eastAsia="仿宋_GB2312" w:cs="Times New Roman"/>
          <w:sz w:val="32"/>
          <w:szCs w:val="32"/>
          <w:lang w:eastAsia="zh-CN"/>
        </w:rPr>
        <w:t>安防短板，解决人工巡检巡查空档、监控系统分散独立、设备标准不统一等问题，构建全天候、全域化、智能化文物安全防护体系，拟开展三亚市文物安全防护体系暨市级统一视频监控与报警平台建设项目，现制定方案如下：</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color w:val="464646"/>
          <w:sz w:val="32"/>
          <w:szCs w:val="32"/>
        </w:rPr>
        <w:t>一</w:t>
      </w:r>
      <w:r>
        <w:rPr>
          <w:rFonts w:hint="default" w:ascii="Times New Roman" w:hAnsi="Times New Roman" w:eastAsia="黑体" w:cs="Times New Roman"/>
          <w:b w:val="0"/>
          <w:bCs w:val="0"/>
          <w:color w:val="262626"/>
          <w:sz w:val="32"/>
          <w:szCs w:val="32"/>
        </w:rPr>
        <w:t>、项目名称</w:t>
      </w:r>
    </w:p>
    <w:p>
      <w:pPr>
        <w:pStyle w:val="2"/>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left"/>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三亚市市级文物保护单位安防建设设计方案编制项目</w:t>
      </w:r>
    </w:p>
    <w:p>
      <w:pPr>
        <w:pStyle w:val="2"/>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left"/>
        <w:textAlignment w:val="auto"/>
        <w:rPr>
          <w:rFonts w:hint="default" w:ascii="Times New Roman" w:hAnsi="Times New Roman" w:eastAsia="黑体" w:cs="Times New Roman"/>
          <w:b w:val="0"/>
          <w:bCs w:val="0"/>
          <w:color w:val="262626"/>
          <w:sz w:val="32"/>
          <w:szCs w:val="32"/>
        </w:rPr>
      </w:pPr>
      <w:r>
        <w:rPr>
          <w:rFonts w:hint="default" w:ascii="Times New Roman" w:hAnsi="Times New Roman" w:eastAsia="黑体" w:cs="Times New Roman"/>
          <w:b w:val="0"/>
          <w:bCs w:val="0"/>
          <w:color w:val="262626"/>
          <w:sz w:val="32"/>
          <w:szCs w:val="32"/>
        </w:rPr>
        <w:t>二、采购人及采购预算金额</w:t>
      </w:r>
    </w:p>
    <w:p>
      <w:pPr>
        <w:pStyle w:val="3"/>
        <w:keepNext w:val="0"/>
        <w:keepLines w:val="0"/>
        <w:pageBreakBefore w:val="0"/>
        <w:kinsoku/>
        <w:wordWrap/>
        <w:overflowPunct/>
        <w:topLinePunct w:val="0"/>
        <w:autoSpaceDE/>
        <w:autoSpaceDN/>
        <w:bidi w:val="0"/>
        <w:adjustRightInd/>
        <w:snapToGrid/>
        <w:spacing w:line="579" w:lineRule="exact"/>
        <w:ind w:left="0" w:right="0" w:firstLine="640" w:firstLineChars="200"/>
        <w:rPr>
          <w:rFonts w:hint="default" w:ascii="Times New Roman" w:hAnsi="Times New Roman" w:eastAsia="仿宋_GB2312" w:cs="Times New Roman"/>
          <w:b w:val="0"/>
          <w:bCs w:val="0"/>
          <w:color w:val="000000"/>
          <w:sz w:val="32"/>
          <w:szCs w:val="32"/>
          <w:lang w:val="en"/>
        </w:rPr>
      </w:pPr>
      <w:r>
        <w:rPr>
          <w:rFonts w:hint="default" w:ascii="Times New Roman" w:hAnsi="Times New Roman" w:eastAsia="仿宋_GB2312" w:cs="Times New Roman"/>
          <w:b w:val="0"/>
          <w:bCs w:val="0"/>
          <w:color w:val="000000"/>
          <w:sz w:val="32"/>
          <w:szCs w:val="32"/>
          <w:lang w:val="en"/>
        </w:rPr>
        <w:t>采购人：三亚市旅游和文化广电体育局</w:t>
      </w:r>
    </w:p>
    <w:p>
      <w:pPr>
        <w:pStyle w:val="3"/>
        <w:keepNext w:val="0"/>
        <w:keepLines w:val="0"/>
        <w:pageBreakBefore w:val="0"/>
        <w:kinsoku/>
        <w:wordWrap/>
        <w:overflowPunct/>
        <w:topLinePunct w:val="0"/>
        <w:autoSpaceDE/>
        <w:autoSpaceDN/>
        <w:bidi w:val="0"/>
        <w:adjustRightInd/>
        <w:snapToGrid/>
        <w:spacing w:line="579" w:lineRule="exact"/>
        <w:ind w:left="0" w:right="0" w:firstLine="640" w:firstLineChars="200"/>
        <w:rPr>
          <w:rFonts w:hint="default" w:ascii="Times New Roman" w:hAnsi="Times New Roman" w:eastAsia="仿宋_GB2312" w:cs="Times New Roman"/>
          <w:b w:val="0"/>
          <w:bCs w:val="0"/>
          <w:color w:val="000000"/>
          <w:sz w:val="32"/>
          <w:szCs w:val="32"/>
          <w:lang w:val="en"/>
        </w:rPr>
      </w:pPr>
      <w:r>
        <w:rPr>
          <w:rFonts w:hint="default" w:ascii="Times New Roman" w:hAnsi="Times New Roman" w:eastAsia="仿宋_GB2312" w:cs="Times New Roman"/>
          <w:b w:val="0"/>
          <w:bCs w:val="0"/>
          <w:color w:val="000000"/>
          <w:sz w:val="32"/>
          <w:szCs w:val="32"/>
          <w:lang w:val="en"/>
        </w:rPr>
        <w:t>采购预算金额：¥</w:t>
      </w:r>
      <w:r>
        <w:rPr>
          <w:rFonts w:hint="default" w:ascii="Times New Roman" w:hAnsi="Times New Roman" w:eastAsia="仿宋_GB2312" w:cs="Times New Roman"/>
          <w:b w:val="0"/>
          <w:bCs w:val="0"/>
          <w:color w:val="000000"/>
          <w:sz w:val="32"/>
          <w:szCs w:val="32"/>
          <w:u w:val="single"/>
          <w:lang w:val="en"/>
        </w:rPr>
        <w:t xml:space="preserve"> </w:t>
      </w:r>
      <w:r>
        <w:rPr>
          <w:rFonts w:hint="eastAsia" w:ascii="Times New Roman" w:hAnsi="Times New Roman" w:eastAsia="仿宋_GB2312" w:cs="Times New Roman"/>
          <w:b w:val="0"/>
          <w:bCs w:val="0"/>
          <w:color w:val="000000"/>
          <w:sz w:val="32"/>
          <w:szCs w:val="32"/>
          <w:u w:val="single"/>
          <w:lang w:val="en-US" w:eastAsia="zh-CN"/>
        </w:rPr>
        <w:t>230000</w:t>
      </w:r>
      <w:r>
        <w:rPr>
          <w:rFonts w:hint="default" w:ascii="Times New Roman" w:hAnsi="Times New Roman" w:eastAsia="仿宋_GB2312" w:cs="Times New Roman"/>
          <w:b w:val="0"/>
          <w:bCs w:val="0"/>
          <w:color w:val="000000"/>
          <w:sz w:val="32"/>
          <w:szCs w:val="32"/>
          <w:lang w:val="en"/>
        </w:rPr>
        <w:t>元， 最高限价为：¥</w:t>
      </w:r>
      <w:r>
        <w:rPr>
          <w:rFonts w:hint="eastAsia" w:ascii="Times New Roman" w:hAnsi="Times New Roman" w:eastAsia="仿宋_GB2312" w:cs="Times New Roman"/>
          <w:b w:val="0"/>
          <w:bCs w:val="0"/>
          <w:color w:val="000000"/>
          <w:sz w:val="32"/>
          <w:szCs w:val="32"/>
          <w:u w:val="single"/>
          <w:lang w:val="en-US" w:eastAsia="zh-CN"/>
        </w:rPr>
        <w:t>230000</w:t>
      </w:r>
      <w:r>
        <w:rPr>
          <w:rFonts w:hint="default" w:ascii="Times New Roman" w:hAnsi="Times New Roman" w:eastAsia="仿宋_GB2312" w:cs="Times New Roman"/>
          <w:b w:val="0"/>
          <w:bCs w:val="0"/>
          <w:color w:val="000000"/>
          <w:sz w:val="32"/>
          <w:szCs w:val="32"/>
          <w:lang w:val="en"/>
        </w:rPr>
        <w:t>元。超出预算金额（最高限价）的报价，按无效报价处理。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设计服务费包含现场踏勘、图纸编制、</w:t>
      </w:r>
      <w:r>
        <w:rPr>
          <w:rFonts w:hint="eastAsia" w:eastAsia="仿宋_GB2312" w:cs="Times New Roman"/>
          <w:color w:val="auto"/>
          <w:sz w:val="32"/>
          <w:szCs w:val="32"/>
          <w:lang w:eastAsia="zh-CN"/>
        </w:rPr>
        <w:t>预算</w:t>
      </w:r>
      <w:r>
        <w:rPr>
          <w:rFonts w:hint="eastAsia" w:eastAsia="仿宋_GB2312" w:cs="Times New Roman"/>
          <w:color w:val="auto"/>
          <w:sz w:val="32"/>
          <w:szCs w:val="32"/>
          <w:lang w:val="en-US" w:eastAsia="zh-CN"/>
        </w:rPr>
        <w:t>编制、</w:t>
      </w:r>
      <w:r>
        <w:rPr>
          <w:rFonts w:hint="default" w:ascii="Times New Roman" w:hAnsi="Times New Roman" w:eastAsia="仿宋_GB2312" w:cs="Times New Roman"/>
          <w:color w:val="auto"/>
          <w:sz w:val="32"/>
          <w:szCs w:val="32"/>
        </w:rPr>
        <w:t>全套资料打印装订、配合专家评审及报审服务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项目全过程技术支撑服务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税费等全部费用，采购人无需额外支付其他费用。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设计费为动态暂定金额，</w:t>
      </w:r>
      <w:r>
        <w:rPr>
          <w:rFonts w:hint="eastAsia" w:ascii="Times New Roman" w:hAnsi="Times New Roman" w:eastAsia="仿宋_GB2312" w:cs="Times New Roman"/>
          <w:color w:val="auto"/>
          <w:sz w:val="32"/>
          <w:szCs w:val="32"/>
          <w:lang w:eastAsia="zh-CN"/>
        </w:rPr>
        <w:t>最终设计费根据审定的项目方案及预算进行</w:t>
      </w:r>
      <w:r>
        <w:rPr>
          <w:rFonts w:hint="default" w:ascii="Times New Roman" w:hAnsi="Times New Roman" w:eastAsia="仿宋_GB2312" w:cs="Times New Roman"/>
          <w:color w:val="auto"/>
          <w:sz w:val="32"/>
          <w:szCs w:val="32"/>
        </w:rPr>
        <w:t>调整</w:t>
      </w:r>
      <w:r>
        <w:rPr>
          <w:rFonts w:hint="eastAsia" w:ascii="Times New Roman" w:hAnsi="Times New Roman" w:eastAsia="仿宋_GB2312" w:cs="Times New Roman"/>
          <w:color w:val="auto"/>
          <w:sz w:val="32"/>
          <w:szCs w:val="32"/>
          <w:lang w:eastAsia="zh-CN"/>
        </w:rPr>
        <w:t>。</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黑体" w:cs="Times New Roman"/>
          <w:b w:val="0"/>
          <w:bCs w:val="0"/>
          <w:color w:val="464646"/>
          <w:sz w:val="32"/>
          <w:szCs w:val="32"/>
        </w:rPr>
      </w:pPr>
      <w:r>
        <w:rPr>
          <w:rFonts w:hint="default" w:ascii="Times New Roman" w:hAnsi="Times New Roman" w:eastAsia="黑体" w:cs="Times New Roman"/>
          <w:b w:val="0"/>
          <w:bCs w:val="0"/>
          <w:color w:val="464646"/>
          <w:sz w:val="32"/>
          <w:szCs w:val="32"/>
        </w:rPr>
        <w:t>三、采购方式</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left="0" w:leftChars="0" w:right="0" w:firstLine="640" w:firstLineChars="200"/>
        <w:textAlignment w:val="baseline"/>
        <w:rPr>
          <w:rFonts w:hint="default" w:ascii="Times New Roman" w:hAnsi="Times New Roman" w:eastAsia="仿宋_GB2312" w:cs="Times New Roman"/>
          <w:b w:val="0"/>
          <w:bCs w:val="0"/>
          <w:color w:val="000000"/>
          <w:kern w:val="2"/>
          <w:sz w:val="32"/>
          <w:szCs w:val="32"/>
          <w:lang w:val="en" w:eastAsia="zh-CN" w:bidi="ar-SA"/>
        </w:rPr>
      </w:pPr>
      <w:r>
        <w:rPr>
          <w:rFonts w:hint="default" w:ascii="Times New Roman" w:hAnsi="Times New Roman" w:eastAsia="仿宋_GB2312" w:cs="Times New Roman"/>
          <w:b w:val="0"/>
          <w:bCs w:val="0"/>
          <w:color w:val="000000"/>
          <w:sz w:val="32"/>
          <w:szCs w:val="32"/>
          <w:lang w:val="en"/>
        </w:rPr>
        <w:t>采购方式：</w:t>
      </w:r>
      <w:r>
        <w:rPr>
          <w:rFonts w:hint="default" w:ascii="Times New Roman" w:hAnsi="Times New Roman" w:eastAsia="仿宋_GB2312" w:cs="Times New Roman"/>
          <w:b w:val="0"/>
          <w:bCs w:val="0"/>
          <w:color w:val="000000"/>
          <w:kern w:val="2"/>
          <w:sz w:val="32"/>
          <w:szCs w:val="32"/>
          <w:lang w:val="en" w:eastAsia="zh-CN" w:bidi="ar-SA"/>
        </w:rPr>
        <w:t>竞争性磋商</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黑体" w:cs="Times New Roman"/>
          <w:b w:val="0"/>
          <w:bCs w:val="0"/>
          <w:color w:val="464646"/>
          <w:sz w:val="32"/>
          <w:szCs w:val="32"/>
        </w:rPr>
      </w:pPr>
      <w:r>
        <w:rPr>
          <w:rFonts w:hint="default" w:ascii="Times New Roman" w:hAnsi="Times New Roman" w:eastAsia="黑体" w:cs="Times New Roman"/>
          <w:b w:val="0"/>
          <w:bCs w:val="0"/>
          <w:color w:val="464646"/>
          <w:sz w:val="32"/>
          <w:szCs w:val="32"/>
        </w:rPr>
        <w:t>四、项目实施地点</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
        </w:rPr>
        <w:t>三亚市</w:t>
      </w:r>
      <w:r>
        <w:rPr>
          <w:rFonts w:hint="eastAsia" w:ascii="Times New Roman" w:hAnsi="Times New Roman" w:eastAsia="仿宋_GB2312" w:cs="Times New Roman"/>
          <w:b w:val="0"/>
          <w:bCs w:val="0"/>
          <w:color w:val="000000"/>
          <w:sz w:val="32"/>
          <w:szCs w:val="32"/>
          <w:lang w:val="en" w:eastAsia="zh-CN"/>
        </w:rPr>
        <w:t>，</w:t>
      </w:r>
      <w:r>
        <w:rPr>
          <w:rFonts w:hint="eastAsia" w:ascii="Times New Roman" w:hAnsi="Times New Roman" w:eastAsia="仿宋_GB2312" w:cs="Times New Roman"/>
          <w:b w:val="0"/>
          <w:bCs w:val="0"/>
          <w:color w:val="000000"/>
          <w:sz w:val="32"/>
          <w:szCs w:val="32"/>
          <w:lang w:val="en-US" w:eastAsia="zh-CN"/>
        </w:rPr>
        <w:t>相关文物保护单位</w:t>
      </w:r>
      <w:bookmarkStart w:id="0" w:name="_GoBack"/>
      <w:bookmarkEnd w:id="0"/>
      <w:r>
        <w:rPr>
          <w:rFonts w:hint="eastAsia" w:ascii="Times New Roman" w:hAnsi="Times New Roman" w:eastAsia="仿宋_GB2312" w:cs="Times New Roman"/>
          <w:b w:val="0"/>
          <w:bCs w:val="0"/>
          <w:color w:val="000000"/>
          <w:sz w:val="32"/>
          <w:szCs w:val="32"/>
          <w:lang w:val="en-US" w:eastAsia="zh-CN"/>
        </w:rPr>
        <w:t>资料可通过三亚市人民政府官网查阅。</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黑体" w:cs="Times New Roman"/>
          <w:b w:val="0"/>
          <w:bCs w:val="0"/>
          <w:color w:val="464646"/>
          <w:sz w:val="32"/>
          <w:szCs w:val="32"/>
          <w:lang w:eastAsia="zh-CN"/>
        </w:rPr>
      </w:pPr>
      <w:r>
        <w:rPr>
          <w:rFonts w:hint="default" w:ascii="Times New Roman" w:hAnsi="Times New Roman" w:eastAsia="黑体" w:cs="Times New Roman"/>
          <w:b w:val="0"/>
          <w:bCs w:val="0"/>
          <w:color w:val="464646"/>
          <w:sz w:val="32"/>
          <w:szCs w:val="32"/>
        </w:rPr>
        <w:t>五、</w:t>
      </w:r>
      <w:r>
        <w:rPr>
          <w:rFonts w:hint="default" w:ascii="Times New Roman" w:hAnsi="Times New Roman" w:eastAsia="黑体" w:cs="Times New Roman"/>
          <w:b w:val="0"/>
          <w:bCs w:val="0"/>
          <w:color w:val="464646"/>
          <w:sz w:val="32"/>
          <w:szCs w:val="32"/>
          <w:lang w:val="en-US" w:eastAsia="zh-CN"/>
        </w:rPr>
        <w:t>竞争性磋商</w:t>
      </w:r>
      <w:r>
        <w:rPr>
          <w:rFonts w:hint="default" w:ascii="Times New Roman" w:hAnsi="Times New Roman" w:eastAsia="黑体" w:cs="Times New Roman"/>
          <w:b w:val="0"/>
          <w:bCs w:val="0"/>
          <w:color w:val="464646"/>
          <w:sz w:val="32"/>
          <w:szCs w:val="32"/>
        </w:rPr>
        <w:t>日程</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baseline"/>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报名</w:t>
      </w:r>
      <w:r>
        <w:rPr>
          <w:rFonts w:hint="eastAsia" w:ascii="Times New Roman" w:hAnsi="Times New Roman" w:eastAsia="仿宋_GB2312" w:cs="Times New Roman"/>
          <w:b w:val="0"/>
          <w:bCs w:val="0"/>
          <w:kern w:val="2"/>
          <w:sz w:val="32"/>
          <w:szCs w:val="32"/>
          <w:lang w:val="en-US" w:eastAsia="zh-CN" w:bidi="ar-SA"/>
        </w:rPr>
        <w:t>时间</w:t>
      </w:r>
      <w:r>
        <w:rPr>
          <w:rFonts w:hint="default" w:ascii="Times New Roman" w:hAnsi="Times New Roman" w:eastAsia="仿宋_GB2312" w:cs="Times New Roman"/>
          <w:b w:val="0"/>
          <w:bCs w:val="0"/>
          <w:kern w:val="2"/>
          <w:sz w:val="32"/>
          <w:szCs w:val="32"/>
          <w:lang w:val="en-US" w:eastAsia="zh-CN" w:bidi="ar-SA"/>
        </w:rPr>
        <w:t>：2026年</w:t>
      </w:r>
      <w:r>
        <w:rPr>
          <w:rFonts w:hint="eastAsia" w:ascii="Times New Roman" w:hAnsi="Times New Roman" w:eastAsia="仿宋_GB2312" w:cs="Times New Roman"/>
          <w:b w:val="0"/>
          <w:bCs w:val="0"/>
          <w:kern w:val="2"/>
          <w:sz w:val="32"/>
          <w:szCs w:val="32"/>
          <w:lang w:val="en-US" w:eastAsia="zh-CN" w:bidi="ar-SA"/>
        </w:rPr>
        <w:t>8</w:t>
      </w:r>
      <w:r>
        <w:rPr>
          <w:rFonts w:hint="default" w:ascii="Times New Roman" w:hAnsi="Times New Roman" w:eastAsia="仿宋_GB2312" w:cs="Times New Roman"/>
          <w:b w:val="0"/>
          <w:bCs w:val="0"/>
          <w:kern w:val="2"/>
          <w:sz w:val="32"/>
          <w:szCs w:val="32"/>
          <w:lang w:val="en-US" w:eastAsia="zh-CN" w:bidi="ar-SA"/>
        </w:rPr>
        <w:t>月</w:t>
      </w:r>
      <w:r>
        <w:rPr>
          <w:rFonts w:hint="eastAsia" w:ascii="Times New Roman" w:hAnsi="Times New Roman" w:eastAsia="仿宋_GB2312" w:cs="Times New Roman"/>
          <w:b w:val="0"/>
          <w:bCs w:val="0"/>
          <w:kern w:val="2"/>
          <w:sz w:val="32"/>
          <w:szCs w:val="32"/>
          <w:lang w:val="en-US" w:eastAsia="zh-CN" w:bidi="ar-SA"/>
        </w:rPr>
        <w:t>21</w:t>
      </w:r>
      <w:r>
        <w:rPr>
          <w:rFonts w:hint="default" w:ascii="Times New Roman" w:hAnsi="Times New Roman" w:eastAsia="仿宋_GB2312" w:cs="Times New Roman"/>
          <w:b w:val="0"/>
          <w:bCs w:val="0"/>
          <w:kern w:val="2"/>
          <w:sz w:val="32"/>
          <w:szCs w:val="32"/>
          <w:lang w:val="en-US" w:eastAsia="zh-CN" w:bidi="ar-SA"/>
        </w:rPr>
        <w:t>日至2026年</w:t>
      </w:r>
      <w:r>
        <w:rPr>
          <w:rFonts w:hint="eastAsia" w:ascii="Times New Roman" w:hAnsi="Times New Roman" w:eastAsia="仿宋_GB2312" w:cs="Times New Roman"/>
          <w:b w:val="0"/>
          <w:bCs w:val="0"/>
          <w:kern w:val="2"/>
          <w:sz w:val="32"/>
          <w:szCs w:val="32"/>
          <w:lang w:val="en-US" w:eastAsia="zh-CN" w:bidi="ar-SA"/>
        </w:rPr>
        <w:t>8</w:t>
      </w:r>
      <w:r>
        <w:rPr>
          <w:rFonts w:hint="default" w:ascii="Times New Roman" w:hAnsi="Times New Roman" w:eastAsia="仿宋_GB2312" w:cs="Times New Roman"/>
          <w:b w:val="0"/>
          <w:bCs w:val="0"/>
          <w:kern w:val="2"/>
          <w:sz w:val="32"/>
          <w:szCs w:val="32"/>
          <w:lang w:val="en-US" w:eastAsia="zh-CN" w:bidi="ar-SA"/>
        </w:rPr>
        <w:t>月2</w:t>
      </w:r>
      <w:r>
        <w:rPr>
          <w:rFonts w:hint="eastAsia" w:ascii="Times New Roman" w:hAnsi="Times New Roman" w:eastAsia="仿宋_GB2312" w:cs="Times New Roman"/>
          <w:b w:val="0"/>
          <w:bCs w:val="0"/>
          <w:kern w:val="2"/>
          <w:sz w:val="32"/>
          <w:szCs w:val="32"/>
          <w:lang w:val="en-US" w:eastAsia="zh-CN" w:bidi="ar-SA"/>
        </w:rPr>
        <w:t>7</w:t>
      </w:r>
      <w:r>
        <w:rPr>
          <w:rFonts w:hint="default" w:ascii="Times New Roman" w:hAnsi="Times New Roman" w:eastAsia="仿宋_GB2312" w:cs="Times New Roman"/>
          <w:b w:val="0"/>
          <w:bCs w:val="0"/>
          <w:kern w:val="2"/>
          <w:sz w:val="32"/>
          <w:szCs w:val="32"/>
          <w:lang w:val="en-US" w:eastAsia="zh-CN" w:bidi="ar-SA"/>
        </w:rPr>
        <w:t>日，每天8:00至12:00，15:00至18:00</w:t>
      </w:r>
      <w:r>
        <w:rPr>
          <w:rFonts w:hint="eastAsia" w:ascii="Times New Roman" w:hAnsi="Times New Roman" w:eastAsia="仿宋_GB2312" w:cs="Times New Roman"/>
          <w:b w:val="0"/>
          <w:bCs w:val="0"/>
          <w:color w:val="auto"/>
          <w:kern w:val="2"/>
          <w:sz w:val="32"/>
          <w:szCs w:val="32"/>
          <w:lang w:val="en-US" w:eastAsia="zh-CN" w:bidi="ar-SA"/>
        </w:rPr>
        <w:t>（其中8月27日截止至12:00）</w:t>
      </w:r>
      <w:r>
        <w:rPr>
          <w:rFonts w:hint="default" w:ascii="Times New Roman" w:hAnsi="Times New Roman" w:eastAsia="仿宋_GB2312" w:cs="Times New Roman"/>
          <w:b w:val="0"/>
          <w:bCs w:val="0"/>
          <w:color w:val="auto"/>
          <w:kern w:val="2"/>
          <w:sz w:val="32"/>
          <w:szCs w:val="32"/>
          <w:lang w:val="en-US" w:eastAsia="zh-CN" w:bidi="ar-SA"/>
        </w:rPr>
        <w:t>。</w:t>
      </w:r>
    </w:p>
    <w:p>
      <w:pPr>
        <w:keepNext w:val="0"/>
        <w:keepLines w:val="0"/>
        <w:pageBreakBefore w:val="0"/>
        <w:kinsoku/>
        <w:wordWrap/>
        <w:overflowPunct/>
        <w:topLinePunct w:val="0"/>
        <w:autoSpaceDE/>
        <w:autoSpaceDN/>
        <w:bidi w:val="0"/>
        <w:adjustRightInd/>
        <w:snapToGrid/>
        <w:spacing w:line="579" w:lineRule="exact"/>
        <w:ind w:firstLine="640" w:firstLineChars="20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竞争性磋商日期：</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6年</w:t>
      </w:r>
      <w:r>
        <w:rPr>
          <w:rFonts w:hint="eastAsia" w:ascii="Times New Roman" w:hAnsi="Times New Roman" w:eastAsia="仿宋_GB2312" w:cs="Times New Roman"/>
          <w:b w:val="0"/>
          <w:bCs w:val="0"/>
          <w:sz w:val="32"/>
          <w:szCs w:val="32"/>
          <w:lang w:val="en-US" w:eastAsia="zh-CN"/>
        </w:rPr>
        <w:t>8</w:t>
      </w:r>
      <w:r>
        <w:rPr>
          <w:rFonts w:hint="default" w:ascii="Times New Roman" w:hAnsi="Times New Roman" w:eastAsia="仿宋_GB2312" w:cs="Times New Roman"/>
          <w:b w:val="0"/>
          <w:bCs w:val="0"/>
          <w:sz w:val="32"/>
          <w:szCs w:val="32"/>
        </w:rPr>
        <w:t>月</w:t>
      </w:r>
      <w:r>
        <w:rPr>
          <w:rFonts w:hint="default" w:ascii="Times New Roman" w:hAnsi="Times New Roman" w:eastAsia="仿宋_GB2312" w:cs="Times New Roman"/>
          <w:b w:val="0"/>
          <w:bCs w:val="0"/>
          <w:sz w:val="32"/>
          <w:szCs w:val="32"/>
          <w:lang w:val="en-US" w:eastAsia="zh-CN"/>
        </w:rPr>
        <w:t>2</w:t>
      </w:r>
      <w:r>
        <w:rPr>
          <w:rFonts w:hint="eastAsia" w:ascii="Times New Roman" w:hAnsi="Times New Roman" w:eastAsia="仿宋_GB2312" w:cs="Times New Roman"/>
          <w:b w:val="0"/>
          <w:bCs w:val="0"/>
          <w:sz w:val="32"/>
          <w:szCs w:val="32"/>
          <w:lang w:val="en-US" w:eastAsia="zh-CN"/>
        </w:rPr>
        <w:t>8</w:t>
      </w:r>
      <w:r>
        <w:rPr>
          <w:rFonts w:hint="default" w:ascii="Times New Roman" w:hAnsi="Times New Roman" w:eastAsia="仿宋_GB2312" w:cs="Times New Roman"/>
          <w:b w:val="0"/>
          <w:bCs w:val="0"/>
          <w:sz w:val="32"/>
          <w:szCs w:val="32"/>
          <w:lang w:val="en-US" w:eastAsia="zh-CN"/>
        </w:rPr>
        <w:t>日（具体时间以磋商邀请函通知为准）</w:t>
      </w:r>
      <w:r>
        <w:rPr>
          <w:rFonts w:hint="default" w:ascii="Times New Roman" w:hAnsi="Times New Roman" w:eastAsia="仿宋_GB2312" w:cs="Times New Roman"/>
          <w:b w:val="0"/>
          <w:bCs w:val="0"/>
          <w:sz w:val="32"/>
          <w:szCs w:val="32"/>
        </w:rPr>
        <w:t>提交</w:t>
      </w:r>
      <w:r>
        <w:rPr>
          <w:rFonts w:hint="default" w:ascii="Times New Roman" w:hAnsi="Times New Roman" w:eastAsia="仿宋_GB2312" w:cs="Times New Roman"/>
          <w:b w:val="0"/>
          <w:bCs w:val="0"/>
          <w:sz w:val="32"/>
          <w:szCs w:val="32"/>
          <w:lang w:val="en-US" w:eastAsia="zh-CN"/>
        </w:rPr>
        <w:t>磋商</w:t>
      </w:r>
      <w:r>
        <w:rPr>
          <w:rFonts w:hint="default" w:ascii="Times New Roman" w:hAnsi="Times New Roman" w:eastAsia="仿宋_GB2312" w:cs="Times New Roman"/>
          <w:b w:val="0"/>
          <w:bCs w:val="0"/>
          <w:sz w:val="32"/>
          <w:szCs w:val="32"/>
        </w:rPr>
        <w:t>文件，现场评审，公布</w:t>
      </w:r>
      <w:r>
        <w:rPr>
          <w:rFonts w:hint="default" w:ascii="Times New Roman" w:hAnsi="Times New Roman" w:eastAsia="仿宋_GB2312" w:cs="Times New Roman"/>
          <w:b w:val="0"/>
          <w:bCs w:val="0"/>
          <w:sz w:val="32"/>
          <w:szCs w:val="32"/>
          <w:lang w:val="en-US" w:eastAsia="zh-CN"/>
        </w:rPr>
        <w:t>磋商</w:t>
      </w:r>
      <w:r>
        <w:rPr>
          <w:rFonts w:hint="default" w:ascii="Times New Roman" w:hAnsi="Times New Roman" w:eastAsia="仿宋_GB2312" w:cs="Times New Roman"/>
          <w:b w:val="0"/>
          <w:bCs w:val="0"/>
          <w:sz w:val="32"/>
          <w:szCs w:val="32"/>
        </w:rPr>
        <w:t>结果</w:t>
      </w:r>
      <w:r>
        <w:rPr>
          <w:rFonts w:hint="default" w:ascii="Times New Roman" w:hAnsi="Times New Roman" w:eastAsia="仿宋_GB2312" w:cs="Times New Roman"/>
          <w:b w:val="0"/>
          <w:bCs w:val="0"/>
          <w:sz w:val="32"/>
          <w:szCs w:val="32"/>
          <w:lang w:eastAsia="zh-CN"/>
        </w:rPr>
        <w:t>。</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黑体" w:cs="Times New Roman"/>
          <w:b w:val="0"/>
          <w:bCs w:val="0"/>
          <w:color w:val="464646"/>
          <w:sz w:val="32"/>
          <w:szCs w:val="32"/>
        </w:rPr>
      </w:pPr>
      <w:r>
        <w:rPr>
          <w:rFonts w:hint="default" w:ascii="Times New Roman" w:hAnsi="Times New Roman" w:eastAsia="黑体" w:cs="Times New Roman"/>
          <w:b w:val="0"/>
          <w:bCs w:val="0"/>
          <w:color w:val="464646"/>
          <w:sz w:val="32"/>
          <w:szCs w:val="32"/>
        </w:rPr>
        <w:t>六、供应商资格要求</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eastAsia"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b w:val="0"/>
          <w:bCs w:val="0"/>
          <w:color w:val="000000"/>
          <w:sz w:val="32"/>
          <w:szCs w:val="32"/>
        </w:rPr>
        <w:t>1.设计单位应至少具有建筑行业(建筑工程)设计专业资质</w:t>
      </w:r>
      <w:r>
        <w:rPr>
          <w:rFonts w:hint="eastAsia"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rPr>
        <w:t>建筑智能化系统设计专项资质</w:t>
      </w:r>
      <w:r>
        <w:rPr>
          <w:rFonts w:hint="eastAsia" w:ascii="Times New Roman" w:hAnsi="Times New Roman" w:eastAsia="仿宋_GB2312" w:cs="Times New Roman"/>
          <w:b w:val="0"/>
          <w:bCs w:val="0"/>
          <w:color w:val="000000"/>
          <w:sz w:val="32"/>
          <w:szCs w:val="32"/>
          <w:lang w:eastAsia="zh-CN"/>
        </w:rPr>
        <w:t>（</w:t>
      </w:r>
      <w:r>
        <w:rPr>
          <w:rFonts w:hint="eastAsia" w:ascii="Times New Roman" w:hAnsi="Times New Roman" w:eastAsia="仿宋_GB2312" w:cs="Times New Roman"/>
          <w:b w:val="0"/>
          <w:bCs w:val="0"/>
          <w:color w:val="000000"/>
          <w:sz w:val="32"/>
          <w:szCs w:val="32"/>
          <w:lang w:val="en-US" w:eastAsia="zh-CN"/>
        </w:rPr>
        <w:t>乙级及以上）且</w:t>
      </w:r>
      <w:r>
        <w:rPr>
          <w:rFonts w:hint="default" w:ascii="Times New Roman" w:hAnsi="Times New Roman" w:eastAsia="仿宋_GB2312" w:cs="Times New Roman"/>
          <w:b w:val="0"/>
          <w:bCs w:val="0"/>
          <w:color w:val="000000"/>
          <w:sz w:val="32"/>
          <w:szCs w:val="32"/>
        </w:rPr>
        <w:t>具有文物保护工程（勘察设计）乙级及以上资质，</w:t>
      </w:r>
      <w:r>
        <w:rPr>
          <w:rFonts w:hint="eastAsia" w:ascii="Times New Roman" w:hAnsi="Times New Roman" w:eastAsia="仿宋_GB2312" w:cs="Times New Roman"/>
          <w:b w:val="0"/>
          <w:bCs w:val="0"/>
          <w:color w:val="000000"/>
          <w:sz w:val="32"/>
          <w:szCs w:val="32"/>
          <w:lang w:val="en-US" w:eastAsia="zh-CN"/>
        </w:rPr>
        <w:t>本次供应商报名需同时具有两个专业资质，可采用联合体方式参与本次磋商</w:t>
      </w:r>
      <w:r>
        <w:rPr>
          <w:rFonts w:hint="eastAsia" w:ascii="Times New Roman" w:hAnsi="Times New Roman" w:eastAsia="仿宋_GB2312" w:cs="Times New Roman"/>
          <w:b w:val="0"/>
          <w:bCs w:val="0"/>
          <w:color w:val="000000"/>
          <w:sz w:val="32"/>
          <w:szCs w:val="32"/>
          <w:lang w:eastAsia="zh-CN"/>
        </w:rPr>
        <w:t>。</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2.在“信用中国”、“中国政府采购”网站没有列入失信被执行人、重大税收违法失信主体、政府采购严重违法失信行为记录名单的投标人（需提供发布采购文件后至响应文件递交</w:t>
      </w:r>
      <w:r>
        <w:rPr>
          <w:rFonts w:hint="default" w:ascii="Times New Roman" w:hAnsi="Times New Roman" w:eastAsia="仿宋_GB2312" w:cs="Times New Roman"/>
          <w:b w:val="0"/>
          <w:bCs w:val="0"/>
          <w:color w:val="000000"/>
          <w:sz w:val="32"/>
          <w:szCs w:val="32"/>
          <w:lang w:eastAsia="zh-CN"/>
        </w:rPr>
        <w:t>截止时间</w:t>
      </w:r>
      <w:r>
        <w:rPr>
          <w:rFonts w:hint="default" w:ascii="Times New Roman" w:hAnsi="Times New Roman" w:eastAsia="仿宋_GB2312" w:cs="Times New Roman"/>
          <w:b w:val="0"/>
          <w:bCs w:val="0"/>
          <w:color w:val="000000"/>
          <w:sz w:val="32"/>
          <w:szCs w:val="32"/>
        </w:rPr>
        <w:t>前的信用查询结果网页截图、信用报告并加盖单位公章）。</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3.其它要求</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（1）在中华人民共和国境内注册、具有独立承担民事责任的能力（提供营业执照或事业单位法人证书）</w:t>
      </w:r>
      <w:r>
        <w:rPr>
          <w:rFonts w:hint="default" w:ascii="Times New Roman" w:hAnsi="Times New Roman" w:eastAsia="仿宋_GB2312" w:cs="Times New Roman"/>
          <w:b w:val="0"/>
          <w:bCs w:val="0"/>
          <w:color w:val="000000"/>
          <w:sz w:val="32"/>
          <w:szCs w:val="32"/>
          <w:lang w:val="en-US" w:eastAsia="zh-CN"/>
        </w:rPr>
        <w:t>。</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eastAsia"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rPr>
        <w:t>）参加政府采购活动前三年内，在经营活动中没有重大违法记录（成立不足三年的从成立之日起计算）</w:t>
      </w:r>
      <w:r>
        <w:rPr>
          <w:rFonts w:hint="eastAsia" w:ascii="Times New Roman" w:hAnsi="Times New Roman" w:eastAsia="仿宋_GB2312" w:cs="Times New Roman"/>
          <w:b w:val="0"/>
          <w:bCs w:val="0"/>
          <w:color w:val="000000"/>
          <w:sz w:val="32"/>
          <w:szCs w:val="32"/>
          <w:lang w:eastAsia="zh-CN"/>
        </w:rPr>
        <w:t>，</w:t>
      </w:r>
      <w:r>
        <w:rPr>
          <w:rFonts w:hint="eastAsia" w:ascii="Times New Roman" w:hAnsi="Times New Roman" w:eastAsia="仿宋_GB2312" w:cs="Times New Roman"/>
          <w:b w:val="0"/>
          <w:bCs w:val="0"/>
          <w:color w:val="000000"/>
          <w:sz w:val="32"/>
          <w:szCs w:val="32"/>
          <w:lang w:val="en-US" w:eastAsia="zh-CN"/>
        </w:rPr>
        <w:t>需提供承诺函</w:t>
      </w:r>
      <w:r>
        <w:rPr>
          <w:rFonts w:hint="eastAsia" w:ascii="Times New Roman" w:hAnsi="Times New Roman" w:eastAsia="仿宋_GB2312" w:cs="Times New Roman"/>
          <w:b w:val="0"/>
          <w:bCs w:val="0"/>
          <w:color w:val="000000"/>
          <w:sz w:val="32"/>
          <w:szCs w:val="32"/>
          <w:lang w:eastAsia="zh-CN"/>
        </w:rPr>
        <w:t>。</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val="en-US" w:eastAsia="zh-CN"/>
        </w:rPr>
        <w:t>3</w:t>
      </w:r>
      <w:r>
        <w:rPr>
          <w:rFonts w:hint="default" w:ascii="Times New Roman" w:hAnsi="Times New Roman" w:eastAsia="仿宋_GB2312" w:cs="Times New Roman"/>
          <w:b w:val="0"/>
          <w:bCs w:val="0"/>
          <w:color w:val="000000"/>
          <w:sz w:val="32"/>
          <w:szCs w:val="32"/>
        </w:rPr>
        <w:t>）单位负责人或法定代表人或公司实际控制人为同一人或者存在直接控股、管理关系的不同供应商，或者构成关联企业的不同供应商，不得参加同一合同项下的采购活动</w:t>
      </w:r>
      <w:r>
        <w:rPr>
          <w:rFonts w:hint="eastAsia" w:ascii="Times New Roman" w:hAnsi="Times New Roman" w:eastAsia="仿宋_GB2312" w:cs="Times New Roman"/>
          <w:b w:val="0"/>
          <w:bCs w:val="0"/>
          <w:color w:val="000000"/>
          <w:sz w:val="32"/>
          <w:szCs w:val="32"/>
          <w:lang w:eastAsia="zh-CN"/>
        </w:rPr>
        <w:t>，</w:t>
      </w:r>
      <w:r>
        <w:rPr>
          <w:rFonts w:hint="eastAsia" w:ascii="Times New Roman" w:hAnsi="Times New Roman" w:eastAsia="仿宋_GB2312" w:cs="Times New Roman"/>
          <w:b w:val="0"/>
          <w:bCs w:val="0"/>
          <w:color w:val="000000"/>
          <w:sz w:val="32"/>
          <w:szCs w:val="32"/>
          <w:lang w:val="en-US" w:eastAsia="zh-CN"/>
        </w:rPr>
        <w:t>需提供承诺函</w:t>
      </w:r>
      <w:r>
        <w:rPr>
          <w:rFonts w:hint="default" w:ascii="Times New Roman" w:hAnsi="Times New Roman" w:eastAsia="仿宋_GB2312" w:cs="Times New Roman"/>
          <w:b w:val="0"/>
          <w:bCs w:val="0"/>
          <w:color w:val="000000"/>
          <w:sz w:val="32"/>
          <w:szCs w:val="32"/>
        </w:rPr>
        <w:t>。</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4.投标时必须提交以上相关证明材料。</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rPr>
      </w:pPr>
      <w:r>
        <w:rPr>
          <w:rFonts w:hint="eastAsia" w:ascii="Times New Roman" w:hAnsi="Times New Roman" w:eastAsia="仿宋_GB2312" w:cs="Times New Roman"/>
          <w:b w:val="0"/>
          <w:bCs w:val="0"/>
          <w:color w:val="000000"/>
          <w:sz w:val="32"/>
          <w:szCs w:val="32"/>
          <w:lang w:val="en-US" w:eastAsia="zh-CN"/>
        </w:rPr>
        <w:t>5</w:t>
      </w:r>
      <w:r>
        <w:rPr>
          <w:rFonts w:hint="default" w:ascii="Times New Roman" w:hAnsi="Times New Roman" w:eastAsia="仿宋_GB2312" w:cs="Times New Roman"/>
          <w:b w:val="0"/>
          <w:bCs w:val="0"/>
          <w:color w:val="000000"/>
          <w:sz w:val="32"/>
          <w:szCs w:val="32"/>
        </w:rPr>
        <w:t>.如出现下列情况之一，本次采购终止：</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（1）递交报价文件后符合资格条件的报价人（不含无效报价）不足三家的；</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（2）出现影响采购工作的违法、违规行为；</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（3）因出现重大变故，需调整或取消采购任务的。</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黑体" w:cs="Times New Roman"/>
          <w:b w:val="0"/>
          <w:bCs w:val="0"/>
          <w:color w:val="464646"/>
          <w:sz w:val="32"/>
          <w:szCs w:val="32"/>
          <w:lang w:eastAsia="zh-CN"/>
        </w:rPr>
      </w:pPr>
      <w:r>
        <w:rPr>
          <w:rFonts w:hint="default" w:ascii="Times New Roman" w:hAnsi="Times New Roman" w:eastAsia="黑体" w:cs="Times New Roman"/>
          <w:b w:val="0"/>
          <w:bCs w:val="0"/>
          <w:color w:val="464646"/>
          <w:sz w:val="32"/>
          <w:szCs w:val="32"/>
        </w:rPr>
        <w:t>七、采购需求</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项目覆盖西沙海战烈士陵园、梅山老区革命烈士陵园、崖城革命烈士纪念园、回辉清真寺、三姓义学学堂、何秉礼故居、林缵统故居、盛德堂古民居、慈禧寿字碑石刻、万代桥古桥、文峰塔遗址共11处文保点位，配套建设市级综合安防管控中心，包含前端入侵报警、高清视频采集、综合管网、视频监控平台、集中存储、网络安全全套安防信息化系统。本次采购标的为本项目全过程设计服务单位，承担现场勘察、方案设计、施工图设计、</w:t>
      </w:r>
      <w:r>
        <w:rPr>
          <w:rFonts w:hint="eastAsia" w:eastAsia="仿宋_GB2312" w:cs="Times New Roman"/>
          <w:sz w:val="32"/>
          <w:szCs w:val="32"/>
          <w:lang w:val="en-US" w:eastAsia="zh-CN"/>
        </w:rPr>
        <w:t>预算</w:t>
      </w:r>
      <w:r>
        <w:rPr>
          <w:rFonts w:hint="default" w:ascii="Times New Roman" w:hAnsi="Times New Roman" w:eastAsia="仿宋_GB2312" w:cs="Times New Roman"/>
          <w:sz w:val="32"/>
          <w:szCs w:val="32"/>
          <w:lang w:val="en-US" w:eastAsia="zh-CN"/>
        </w:rPr>
        <w:t>编制、评审配合、施工全过程技术支撑等全链条设计工作</w:t>
      </w:r>
      <w:r>
        <w:rPr>
          <w:rFonts w:hint="eastAsia" w:ascii="Times New Roman" w:hAnsi="Times New Roman" w:eastAsia="仿宋_GB2312" w:cs="Times New Roman"/>
          <w:sz w:val="32"/>
          <w:szCs w:val="32"/>
          <w:lang w:val="en-US" w:eastAsia="zh-CN"/>
        </w:rPr>
        <w:t>，具体如下：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（一）前期现场调研与基础资料梳理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全覆盖踏勘 11 处文物保护点位及市级综合安防管控中心场地，记录场地尺寸、供电、网络、地形、文物保护边界、周边环境约束条件，形成完整踏勘记录。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收集全市文物台账、保护范围矢量、现有管线、场地图纸等基础资料，梳理项目建设约束条件，识别施工、设备安装、管线铺设风险点，形成风险防控设计思路。</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结合文保管控需求，统筹前端安防、管控中心、平台存储、网络安全四大板块整体布局。</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（二）全套设计文件编制</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方案设计：</w:t>
      </w:r>
      <w:r>
        <w:rPr>
          <w:rFonts w:hint="eastAsia" w:eastAsia="仿宋_GB2312" w:cs="Times New Roman"/>
          <w:color w:val="auto"/>
          <w:sz w:val="32"/>
          <w:szCs w:val="32"/>
          <w:lang w:eastAsia="zh-CN"/>
        </w:rPr>
        <w:t>设计单位前往11个点位开展调研工作，以应接尽接为原则，充分利旧，减少新增设备采购、管线开挖施工工程量，节约项目整体投资；</w:t>
      </w:r>
      <w:r>
        <w:rPr>
          <w:rFonts w:hint="default" w:ascii="Times New Roman" w:hAnsi="Times New Roman" w:eastAsia="仿宋_GB2312" w:cs="Times New Roman"/>
          <w:sz w:val="32"/>
          <w:szCs w:val="32"/>
        </w:rPr>
        <w:t>编制项目总体设计方案，包含系统架构、点位布局、设备选型、管线走向、管控中心平面布局、系统功能说明、运维初步方案。</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施工图设计：出具 11 处点位前端报警、监控、扩声、管网施工图纸；市级管控中心音视频、存储、网络、机房配套全套施工图纸，图纸标注尺寸、材质、管线规格、接地防雷做法。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投资</w:t>
      </w:r>
      <w:r>
        <w:rPr>
          <w:rFonts w:hint="eastAsia" w:eastAsia="仿宋_GB2312" w:cs="Times New Roman"/>
          <w:sz w:val="32"/>
          <w:szCs w:val="32"/>
          <w:lang w:eastAsia="zh-CN"/>
        </w:rPr>
        <w:t>预算</w:t>
      </w:r>
      <w:r>
        <w:rPr>
          <w:rFonts w:hint="default" w:ascii="Times New Roman" w:hAnsi="Times New Roman" w:eastAsia="仿宋_GB2312" w:cs="Times New Roman"/>
          <w:sz w:val="32"/>
          <w:szCs w:val="32"/>
        </w:rPr>
        <w:t>编制：依据《文物建筑勘查设计取费标准（2022 版）》及设备清单、工程量精准编制项目总</w:t>
      </w:r>
      <w:r>
        <w:rPr>
          <w:rFonts w:hint="eastAsia" w:eastAsia="仿宋_GB2312" w:cs="Times New Roman"/>
          <w:sz w:val="32"/>
          <w:szCs w:val="32"/>
          <w:lang w:eastAsia="zh-CN"/>
        </w:rPr>
        <w:t>预算</w:t>
      </w:r>
      <w:r>
        <w:rPr>
          <w:rFonts w:hint="default" w:ascii="Times New Roman" w:hAnsi="Times New Roman" w:eastAsia="仿宋_GB2312" w:cs="Times New Roman"/>
          <w:sz w:val="32"/>
          <w:szCs w:val="32"/>
        </w:rPr>
        <w:t>，硬件购置费、设计费分列，说明取费依据、调整系数，硬件清单调整后同步更新</w:t>
      </w:r>
      <w:r>
        <w:rPr>
          <w:rFonts w:hint="eastAsia" w:eastAsia="仿宋_GB2312" w:cs="Times New Roman"/>
          <w:sz w:val="32"/>
          <w:szCs w:val="32"/>
          <w:lang w:eastAsia="zh-CN"/>
        </w:rPr>
        <w:t>预算</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（三）专家评审及报审配合服务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负责组织、配合主管部门开展方案专家论证，根据评审意见限时修改完善设计成果，直至通过审核。</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配合开展</w:t>
      </w:r>
      <w:r>
        <w:rPr>
          <w:rFonts w:hint="eastAsia" w:eastAsia="仿宋_GB2312" w:cs="Times New Roman"/>
          <w:sz w:val="32"/>
          <w:szCs w:val="32"/>
          <w:lang w:eastAsia="zh-CN"/>
        </w:rPr>
        <w:t>预算</w:t>
      </w:r>
      <w:r>
        <w:rPr>
          <w:rFonts w:hint="default" w:ascii="Times New Roman" w:hAnsi="Times New Roman" w:eastAsia="仿宋_GB2312" w:cs="Times New Roman"/>
          <w:sz w:val="32"/>
          <w:szCs w:val="32"/>
        </w:rPr>
        <w:t>复核，提供全套设计佐证资料，答疑解释设备选型、工程量、计价依据。</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（四）项目全过程技术支撑服务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color w:val="auto"/>
          <w:sz w:val="32"/>
          <w:szCs w:val="32"/>
          <w:lang w:eastAsia="zh-CN"/>
        </w:rPr>
        <w:t>施工</w:t>
      </w:r>
      <w:r>
        <w:rPr>
          <w:rFonts w:hint="default" w:ascii="Times New Roman" w:hAnsi="Times New Roman" w:eastAsia="仿宋_GB2312" w:cs="Times New Roman"/>
          <w:sz w:val="32"/>
          <w:szCs w:val="32"/>
        </w:rPr>
        <w:t>招标配合：协助采购人梳理硬件采购需求、设备技术参数、清单明细，为采购文件提供专业技术支撑。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施工阶段服务：开展设计交底，现场处理管线、点位变更，出具变更图纸及变更</w:t>
      </w:r>
      <w:r>
        <w:rPr>
          <w:rFonts w:hint="eastAsia" w:eastAsia="仿宋_GB2312" w:cs="Times New Roman"/>
          <w:sz w:val="32"/>
          <w:szCs w:val="32"/>
          <w:lang w:eastAsia="zh-CN"/>
        </w:rPr>
        <w:t>预算</w:t>
      </w:r>
      <w:r>
        <w:rPr>
          <w:rFonts w:hint="default" w:ascii="Times New Roman" w:hAnsi="Times New Roman" w:eastAsia="仿宋_GB2312" w:cs="Times New Roman"/>
          <w:sz w:val="32"/>
          <w:szCs w:val="32"/>
        </w:rPr>
        <w:t>，全程跟进施工技术疑问。</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调试验收配合：配合系统联调、30 天试运行、项目竣工验收，提供图纸核对、功能匹配技术支持。</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后期咨询：质保、运维阶段提供系统改造、点位增补、平台升</w:t>
      </w:r>
      <w:r>
        <w:rPr>
          <w:rFonts w:hint="eastAsia" w:ascii="Times New Roman" w:hAnsi="Times New Roman" w:eastAsia="仿宋_GB2312" w:cs="Times New Roman"/>
          <w:sz w:val="32"/>
          <w:szCs w:val="32"/>
          <w:lang w:eastAsia="zh-CN"/>
        </w:rPr>
        <w:t>级等</w:t>
      </w:r>
      <w:r>
        <w:rPr>
          <w:rFonts w:hint="default" w:ascii="Times New Roman" w:hAnsi="Times New Roman" w:eastAsia="仿宋_GB2312" w:cs="Times New Roman"/>
          <w:sz w:val="32"/>
          <w:szCs w:val="32"/>
        </w:rPr>
        <w:t>相关设计咨询意见。</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八、</w:t>
      </w:r>
      <w:r>
        <w:rPr>
          <w:rFonts w:hint="eastAsia" w:ascii="黑体" w:hAnsi="黑体" w:eastAsia="黑体" w:cs="黑体"/>
          <w:b w:val="0"/>
          <w:bCs w:val="0"/>
          <w:sz w:val="32"/>
          <w:szCs w:val="32"/>
        </w:rPr>
        <w:t>设计交付成果清单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（一）文字类成果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项目总体安防设计方案（含系统架构、点位布局、运维建议）；</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全套施工图设计说明、施工保护专项方案；</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项目投资</w:t>
      </w:r>
      <w:r>
        <w:rPr>
          <w:rFonts w:hint="eastAsia" w:eastAsia="仿宋_GB2312" w:cs="Times New Roman"/>
          <w:sz w:val="32"/>
          <w:szCs w:val="32"/>
          <w:lang w:eastAsia="zh-CN"/>
        </w:rPr>
        <w:t>预算</w:t>
      </w:r>
      <w:r>
        <w:rPr>
          <w:rFonts w:hint="default" w:ascii="Times New Roman" w:hAnsi="Times New Roman" w:eastAsia="仿宋_GB2312" w:cs="Times New Roman"/>
          <w:sz w:val="32"/>
          <w:szCs w:val="32"/>
        </w:rPr>
        <w:t>书（含计价依据、设备清单、费用测算表）；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专家评审修改说明、各阶段沟通纪要；</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施工交底、竣工验收配套技术文档。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（二）图纸类成果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11 处文物点位：监控点位布置图、入侵报警管线图、供电网线敷设图、立杆设备安装详图、接地防雷图纸</w:t>
      </w:r>
      <w:r>
        <w:rPr>
          <w:rFonts w:hint="eastAsia"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市级综合安防管控中心：平面布局图、大屏音视频系统图、</w:t>
      </w:r>
      <w:r>
        <w:rPr>
          <w:rFonts w:hint="eastAsia" w:ascii="Times New Roman" w:hAnsi="Times New Roman" w:eastAsia="仿宋_GB2312" w:cs="Times New Roman"/>
          <w:sz w:val="32"/>
          <w:szCs w:val="32"/>
          <w:lang w:val="en-US" w:eastAsia="zh-CN"/>
        </w:rPr>
        <w:t>设备间</w:t>
      </w:r>
      <w:r>
        <w:rPr>
          <w:rFonts w:hint="default" w:ascii="Times New Roman" w:hAnsi="Times New Roman" w:eastAsia="仿宋_GB2312" w:cs="Times New Roman"/>
          <w:sz w:val="32"/>
          <w:szCs w:val="32"/>
        </w:rPr>
        <w:t>存储网络布置图、机柜布线图；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系统拓扑总图（前端点位 — 传输 — 管控中心 — </w:t>
      </w:r>
      <w:r>
        <w:rPr>
          <w:rFonts w:hint="eastAsia" w:ascii="Times New Roman" w:hAnsi="Times New Roman" w:eastAsia="仿宋_GB2312" w:cs="Times New Roman"/>
          <w:sz w:val="32"/>
          <w:szCs w:val="32"/>
          <w:lang w:val="en-US" w:eastAsia="zh-CN"/>
        </w:rPr>
        <w:t>本地</w:t>
      </w:r>
      <w:r>
        <w:rPr>
          <w:rFonts w:hint="default" w:ascii="Times New Roman" w:hAnsi="Times New Roman" w:eastAsia="仿宋_GB2312" w:cs="Times New Roman"/>
          <w:sz w:val="32"/>
          <w:szCs w:val="32"/>
        </w:rPr>
        <w:t>存储整体架构）。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（三）归档交付要求</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b w:val="0"/>
          <w:bCs w:val="0"/>
          <w:color w:val="464646"/>
          <w:sz w:val="32"/>
          <w:szCs w:val="32"/>
          <w:lang w:val="en-US" w:eastAsia="zh-CN"/>
        </w:rPr>
      </w:pPr>
      <w:r>
        <w:rPr>
          <w:rFonts w:hint="default" w:ascii="Times New Roman" w:hAnsi="Times New Roman" w:eastAsia="仿宋_GB2312" w:cs="Times New Roman"/>
          <w:sz w:val="32"/>
          <w:szCs w:val="32"/>
          <w:lang w:val="en-US" w:eastAsia="zh-CN"/>
        </w:rPr>
        <w:t xml:space="preserve">所有成果提供纸质装订版（4 套）+ 可编辑电子版本（CAD 图纸、Word 方案、Excel </w:t>
      </w:r>
      <w:r>
        <w:rPr>
          <w:rFonts w:hint="eastAsia" w:eastAsia="仿宋_GB2312" w:cs="Times New Roman"/>
          <w:sz w:val="32"/>
          <w:szCs w:val="32"/>
          <w:lang w:val="en-US" w:eastAsia="zh-CN"/>
        </w:rPr>
        <w:t>预算</w:t>
      </w:r>
      <w:r>
        <w:rPr>
          <w:rFonts w:hint="default" w:ascii="Times New Roman" w:hAnsi="Times New Roman" w:eastAsia="仿宋_GB2312" w:cs="Times New Roman"/>
          <w:sz w:val="32"/>
          <w:szCs w:val="32"/>
          <w:lang w:val="en-US" w:eastAsia="zh-CN"/>
        </w:rPr>
        <w:t>），全套资料统一移交市文物主管部门归档。</w:t>
      </w:r>
    </w:p>
    <w:p>
      <w:pPr>
        <w:ind w:firstLine="640" w:firstLineChars="200"/>
        <w:rPr>
          <w:rFonts w:hint="default" w:ascii="Times New Roman" w:hAnsi="Times New Roman" w:eastAsia="黑体" w:cs="Times New Roman"/>
          <w:b w:val="0"/>
          <w:bCs w:val="0"/>
          <w:color w:val="464646"/>
          <w:sz w:val="32"/>
          <w:szCs w:val="32"/>
          <w:lang w:val="en-US" w:eastAsia="zh-CN"/>
        </w:rPr>
      </w:pPr>
      <w:r>
        <w:rPr>
          <w:rFonts w:hint="eastAsia" w:ascii="Times New Roman" w:hAnsi="Times New Roman" w:eastAsia="黑体" w:cs="Times New Roman"/>
          <w:b w:val="0"/>
          <w:bCs w:val="0"/>
          <w:color w:val="464646"/>
          <w:sz w:val="32"/>
          <w:szCs w:val="32"/>
          <w:lang w:val="en-US" w:eastAsia="zh-CN"/>
        </w:rPr>
        <w:t>九</w:t>
      </w:r>
      <w:r>
        <w:rPr>
          <w:rFonts w:hint="default" w:ascii="Times New Roman" w:hAnsi="Times New Roman" w:eastAsia="黑体" w:cs="Times New Roman"/>
          <w:b w:val="0"/>
          <w:bCs w:val="0"/>
          <w:color w:val="464646"/>
          <w:sz w:val="32"/>
          <w:szCs w:val="32"/>
          <w:lang w:val="en-US" w:eastAsia="zh-CN"/>
        </w:rPr>
        <w:t>、评分标准</w:t>
      </w:r>
    </w:p>
    <w:tbl>
      <w:tblPr>
        <w:tblStyle w:val="1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1265"/>
        <w:gridCol w:w="5299"/>
        <w:gridCol w:w="1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trPr>
        <w:tc>
          <w:tcPr>
            <w:tcW w:w="9061" w:type="dxa"/>
            <w:gridSpan w:val="4"/>
            <w:noWrap w:val="0"/>
            <w:vAlign w:val="center"/>
          </w:tcPr>
          <w:p>
            <w:pPr>
              <w:pStyle w:val="2"/>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left"/>
              <w:textAlignment w:val="auto"/>
              <w:rPr>
                <w:rFonts w:hint="default" w:ascii="Times New Roman" w:hAnsi="Times New Roman" w:eastAsia="黑体" w:cs="Times New Roman"/>
                <w:b w:val="0"/>
                <w:bCs w:val="0"/>
                <w:color w:val="464646"/>
                <w:sz w:val="36"/>
                <w:szCs w:val="36"/>
                <w:vertAlign w:val="baseline"/>
                <w:lang w:val="en-US" w:eastAsia="zh-CN"/>
              </w:rPr>
            </w:pPr>
            <w:r>
              <w:rPr>
                <w:rFonts w:hint="default" w:ascii="Times New Roman" w:hAnsi="Times New Roman" w:eastAsia="仿宋_GB2312" w:cs="Times New Roman"/>
                <w:b w:val="0"/>
                <w:bCs w:val="0"/>
                <w:color w:val="000000"/>
                <w:kern w:val="2"/>
                <w:sz w:val="32"/>
                <w:szCs w:val="32"/>
                <w:lang w:val="en-US" w:eastAsia="zh-CN" w:bidi="ar-SA"/>
              </w:rPr>
              <w:t>三亚市市级文物保护单位安防建设设计方案编制项目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8" w:hRule="atLeast"/>
        </w:trPr>
        <w:tc>
          <w:tcPr>
            <w:tcW w:w="1111" w:type="dxa"/>
            <w:noWrap w:val="0"/>
            <w:vAlign w:val="center"/>
          </w:tcPr>
          <w:p>
            <w:pPr>
              <w:widowControl/>
              <w:spacing w:line="300" w:lineRule="auto"/>
              <w:ind w:firstLine="220" w:firstLineChars="100"/>
              <w:jc w:val="both"/>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eastAsia="宋体" w:cs="Times New Roman"/>
                <w:b w:val="0"/>
                <w:bCs w:val="0"/>
                <w:color w:val="000000"/>
                <w:kern w:val="0"/>
                <w:sz w:val="22"/>
                <w:szCs w:val="22"/>
                <w:vertAlign w:val="baseline"/>
                <w:lang w:val="en-US" w:eastAsia="zh-CN"/>
              </w:rPr>
              <w:t>序号</w:t>
            </w:r>
          </w:p>
        </w:tc>
        <w:tc>
          <w:tcPr>
            <w:tcW w:w="1265" w:type="dxa"/>
            <w:noWrap w:val="0"/>
            <w:vAlign w:val="center"/>
          </w:tcPr>
          <w:p>
            <w:pPr>
              <w:widowControl/>
              <w:spacing w:line="300" w:lineRule="auto"/>
              <w:ind w:firstLine="220" w:firstLineChars="100"/>
              <w:jc w:val="left"/>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eastAsia="宋体" w:cs="Times New Roman"/>
                <w:b w:val="0"/>
                <w:bCs w:val="0"/>
                <w:color w:val="000000"/>
                <w:kern w:val="0"/>
                <w:sz w:val="22"/>
                <w:szCs w:val="22"/>
                <w:vertAlign w:val="baseline"/>
                <w:lang w:val="en-US" w:eastAsia="zh-CN"/>
              </w:rPr>
              <w:t>名称</w:t>
            </w:r>
          </w:p>
        </w:tc>
        <w:tc>
          <w:tcPr>
            <w:tcW w:w="5299" w:type="dxa"/>
            <w:noWrap w:val="0"/>
            <w:vAlign w:val="center"/>
          </w:tcPr>
          <w:p>
            <w:pPr>
              <w:widowControl/>
              <w:spacing w:line="300" w:lineRule="auto"/>
              <w:ind w:firstLine="420"/>
              <w:jc w:val="center"/>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eastAsia="宋体" w:cs="Times New Roman"/>
                <w:b w:val="0"/>
                <w:bCs w:val="0"/>
                <w:color w:val="000000"/>
                <w:kern w:val="0"/>
                <w:sz w:val="22"/>
                <w:szCs w:val="22"/>
                <w:vertAlign w:val="baseline"/>
                <w:lang w:val="en-US" w:eastAsia="zh-CN"/>
              </w:rPr>
              <w:t>内容</w:t>
            </w:r>
          </w:p>
        </w:tc>
        <w:tc>
          <w:tcPr>
            <w:tcW w:w="1386" w:type="dxa"/>
            <w:noWrap w:val="0"/>
            <w:vAlign w:val="center"/>
          </w:tcPr>
          <w:p>
            <w:pPr>
              <w:widowControl/>
              <w:spacing w:line="300" w:lineRule="auto"/>
              <w:ind w:firstLine="420"/>
              <w:jc w:val="left"/>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eastAsia="宋体" w:cs="Times New Roman"/>
                <w:b w:val="0"/>
                <w:bCs w:val="0"/>
                <w:color w:val="000000"/>
                <w:kern w:val="0"/>
                <w:sz w:val="22"/>
                <w:szCs w:val="22"/>
                <w:vertAlign w:val="baseline"/>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111" w:type="dxa"/>
            <w:noWrap w:val="0"/>
            <w:vAlign w:val="center"/>
          </w:tcPr>
          <w:p>
            <w:pPr>
              <w:widowControl/>
              <w:spacing w:line="300" w:lineRule="auto"/>
              <w:ind w:firstLine="420"/>
              <w:jc w:val="both"/>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cs="Times New Roman"/>
                <w:b w:val="0"/>
                <w:bCs w:val="0"/>
                <w:color w:val="000000"/>
                <w:kern w:val="0"/>
                <w:sz w:val="22"/>
                <w:szCs w:val="22"/>
                <w:vertAlign w:val="baseline"/>
                <w:lang w:val="en-US" w:eastAsia="zh-CN"/>
              </w:rPr>
              <w:t>1</w:t>
            </w:r>
          </w:p>
        </w:tc>
        <w:tc>
          <w:tcPr>
            <w:tcW w:w="1265" w:type="dxa"/>
            <w:noWrap w:val="0"/>
            <w:vAlign w:val="center"/>
          </w:tcPr>
          <w:p>
            <w:pPr>
              <w:widowControl/>
              <w:spacing w:line="300" w:lineRule="auto"/>
              <w:ind w:firstLine="0"/>
              <w:jc w:val="both"/>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eastAsia="宋体" w:cs="Times New Roman"/>
                <w:b w:val="0"/>
                <w:bCs w:val="0"/>
                <w:color w:val="000000"/>
                <w:kern w:val="0"/>
                <w:sz w:val="22"/>
                <w:szCs w:val="22"/>
                <w:vertAlign w:val="baseline"/>
                <w:lang w:val="en-US" w:eastAsia="zh-CN"/>
              </w:rPr>
              <w:t>价格分</w:t>
            </w:r>
          </w:p>
        </w:tc>
        <w:tc>
          <w:tcPr>
            <w:tcW w:w="5299" w:type="dxa"/>
            <w:noWrap w:val="0"/>
            <w:vAlign w:val="center"/>
          </w:tcPr>
          <w:p>
            <w:pPr>
              <w:pageBreakBefore w:val="0"/>
              <w:widowControl/>
              <w:kinsoku/>
              <w:wordWrap/>
              <w:overflowPunct/>
              <w:topLinePunct w:val="0"/>
              <w:autoSpaceDE/>
              <w:bidi w:val="0"/>
              <w:adjustRightInd/>
              <w:snapToGrid/>
              <w:spacing w:line="300" w:lineRule="auto"/>
              <w:ind w:firstLine="0"/>
              <w:jc w:val="both"/>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综合评分法中的价格分统一采用低价优先法计算，即满足磋商文件要求且最后报价最低的供应商的价格为磋商基准价，其价格分为满分。其他供应商的价格分统一按照下列公式计算：</w:t>
            </w:r>
          </w:p>
          <w:p>
            <w:pPr>
              <w:widowControl/>
              <w:spacing w:line="300" w:lineRule="auto"/>
              <w:jc w:val="both"/>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eastAsia="宋体" w:cs="Times New Roman"/>
                <w:color w:val="000000"/>
                <w:kern w:val="0"/>
                <w:sz w:val="22"/>
                <w:szCs w:val="22"/>
              </w:rPr>
              <w:t>磋商报价得分=（磋商基准价/最后磋商报价）×30%×100</w:t>
            </w:r>
          </w:p>
        </w:tc>
        <w:tc>
          <w:tcPr>
            <w:tcW w:w="1386" w:type="dxa"/>
            <w:noWrap w:val="0"/>
            <w:vAlign w:val="center"/>
          </w:tcPr>
          <w:p>
            <w:pPr>
              <w:widowControl/>
              <w:spacing w:line="300" w:lineRule="auto"/>
              <w:ind w:firstLine="420"/>
              <w:jc w:val="left"/>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eastAsia="宋体" w:cs="Times New Roman"/>
                <w:b w:val="0"/>
                <w:bCs w:val="0"/>
                <w:color w:val="000000"/>
                <w:kern w:val="0"/>
                <w:sz w:val="22"/>
                <w:szCs w:val="22"/>
                <w:vertAlign w:val="baseli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1" w:type="dxa"/>
            <w:noWrap w:val="0"/>
            <w:vAlign w:val="center"/>
          </w:tcPr>
          <w:p>
            <w:pPr>
              <w:widowControl/>
              <w:spacing w:line="300" w:lineRule="auto"/>
              <w:ind w:firstLine="420"/>
              <w:jc w:val="both"/>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cs="Times New Roman"/>
                <w:b w:val="0"/>
                <w:bCs w:val="0"/>
                <w:color w:val="000000"/>
                <w:kern w:val="0"/>
                <w:sz w:val="22"/>
                <w:szCs w:val="22"/>
                <w:vertAlign w:val="baseline"/>
                <w:lang w:val="en-US" w:eastAsia="zh-CN"/>
              </w:rPr>
              <w:t>2</w:t>
            </w:r>
          </w:p>
        </w:tc>
        <w:tc>
          <w:tcPr>
            <w:tcW w:w="1265" w:type="dxa"/>
            <w:noWrap w:val="0"/>
            <w:vAlign w:val="center"/>
          </w:tcPr>
          <w:p>
            <w:pPr>
              <w:widowControl/>
              <w:spacing w:line="300" w:lineRule="auto"/>
              <w:ind w:firstLine="0"/>
              <w:jc w:val="both"/>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eastAsia="宋体" w:cs="Times New Roman"/>
                <w:b w:val="0"/>
                <w:bCs w:val="0"/>
                <w:color w:val="000000"/>
                <w:kern w:val="0"/>
                <w:sz w:val="22"/>
                <w:szCs w:val="22"/>
                <w:vertAlign w:val="baseline"/>
                <w:lang w:val="en-US" w:eastAsia="zh-CN"/>
              </w:rPr>
              <w:t>业绩分</w:t>
            </w:r>
          </w:p>
        </w:tc>
        <w:tc>
          <w:tcPr>
            <w:tcW w:w="5299" w:type="dxa"/>
            <w:noWrap w:val="0"/>
            <w:vAlign w:val="center"/>
          </w:tcPr>
          <w:p>
            <w:pPr>
              <w:pageBreakBefore w:val="0"/>
              <w:widowControl/>
              <w:numPr>
                <w:ilvl w:val="0"/>
                <w:numId w:val="0"/>
              </w:numPr>
              <w:tabs>
                <w:tab w:val="left" w:pos="1220"/>
              </w:tabs>
              <w:kinsoku/>
              <w:wordWrap/>
              <w:overflowPunct/>
              <w:topLinePunct w:val="0"/>
              <w:autoSpaceDE/>
              <w:bidi w:val="0"/>
              <w:adjustRightInd/>
              <w:snapToGrid/>
              <w:spacing w:line="300" w:lineRule="auto"/>
              <w:ind w:firstLine="0" w:firstLineChars="0"/>
              <w:jc w:val="both"/>
              <w:textAlignment w:val="auto"/>
              <w:rPr>
                <w:rFonts w:hint="default" w:ascii="Times New Roman" w:hAnsi="Times New Roman" w:eastAsia="宋体" w:cs="Times New Roman"/>
                <w:color w:val="000000"/>
                <w:kern w:val="0"/>
                <w:sz w:val="22"/>
                <w:szCs w:val="22"/>
                <w:lang w:val="en-US" w:eastAsia="zh-CN"/>
              </w:rPr>
            </w:pPr>
            <w:r>
              <w:rPr>
                <w:rFonts w:hint="eastAsia" w:ascii="宋体" w:hAnsi="宋体" w:eastAsia="宋体" w:cs="宋体"/>
                <w:kern w:val="2"/>
                <w:sz w:val="21"/>
                <w:szCs w:val="21"/>
              </w:rPr>
              <w:t>供应商需提供</w:t>
            </w:r>
            <w:r>
              <w:rPr>
                <w:rFonts w:hint="default" w:ascii="Calibri" w:hAnsi="Calibri" w:eastAsia="宋体" w:cs="Calibri"/>
                <w:kern w:val="2"/>
                <w:sz w:val="21"/>
                <w:szCs w:val="21"/>
              </w:rPr>
              <w:t>2023</w:t>
            </w:r>
            <w:r>
              <w:rPr>
                <w:rFonts w:hint="eastAsia" w:ascii="宋体" w:hAnsi="宋体" w:eastAsia="宋体" w:cs="宋体"/>
                <w:kern w:val="2"/>
                <w:sz w:val="21"/>
                <w:szCs w:val="21"/>
              </w:rPr>
              <w:t>年至今与文物</w:t>
            </w:r>
            <w:r>
              <w:rPr>
                <w:rFonts w:hint="eastAsia" w:ascii="宋体" w:hAnsi="宋体" w:cs="宋体"/>
                <w:kern w:val="2"/>
                <w:sz w:val="21"/>
                <w:szCs w:val="21"/>
                <w:lang w:val="en-US" w:eastAsia="zh-CN"/>
              </w:rPr>
              <w:t>安防设计</w:t>
            </w:r>
            <w:r>
              <w:rPr>
                <w:rFonts w:hint="eastAsia" w:ascii="宋体" w:hAnsi="宋体" w:eastAsia="宋体" w:cs="宋体"/>
                <w:kern w:val="2"/>
                <w:sz w:val="21"/>
                <w:szCs w:val="21"/>
              </w:rPr>
              <w:t>、文物研究、</w:t>
            </w:r>
            <w:r>
              <w:rPr>
                <w:rFonts w:hint="eastAsia" w:ascii="宋体" w:hAnsi="宋体" w:cs="宋体"/>
                <w:kern w:val="2"/>
                <w:sz w:val="21"/>
                <w:szCs w:val="21"/>
                <w:lang w:val="en-US" w:eastAsia="zh-CN"/>
              </w:rPr>
              <w:t>文物修缮设计</w:t>
            </w:r>
            <w:r>
              <w:rPr>
                <w:rFonts w:hint="eastAsia" w:ascii="宋体" w:hAnsi="宋体" w:eastAsia="宋体" w:cs="宋体"/>
                <w:kern w:val="2"/>
                <w:sz w:val="21"/>
                <w:szCs w:val="21"/>
              </w:rPr>
              <w:t>等相关方面的项目业绩，每提供一份得</w:t>
            </w:r>
            <w:r>
              <w:rPr>
                <w:rFonts w:hint="default" w:ascii="Calibri" w:hAnsi="Calibri" w:eastAsia="宋体" w:cs="Calibri"/>
                <w:kern w:val="2"/>
                <w:sz w:val="21"/>
                <w:szCs w:val="21"/>
              </w:rPr>
              <w:t>5</w:t>
            </w:r>
            <w:r>
              <w:rPr>
                <w:rFonts w:hint="eastAsia" w:ascii="宋体" w:hAnsi="宋体" w:eastAsia="宋体" w:cs="宋体"/>
                <w:kern w:val="2"/>
                <w:sz w:val="21"/>
                <w:szCs w:val="21"/>
              </w:rPr>
              <w:t>分，</w:t>
            </w:r>
            <w:r>
              <w:rPr>
                <w:rFonts w:hint="default" w:ascii="Times New Roman" w:hAnsi="Times New Roman" w:eastAsia="宋体" w:cs="Times New Roman"/>
                <w:color w:val="000000"/>
                <w:kern w:val="0"/>
                <w:sz w:val="22"/>
                <w:szCs w:val="22"/>
                <w:lang w:val="en-US" w:eastAsia="zh-CN" w:bidi="ar"/>
              </w:rPr>
              <w:t>本项满分</w:t>
            </w:r>
            <w:r>
              <w:rPr>
                <w:rFonts w:hint="default" w:ascii="Times New Roman" w:hAnsi="Times New Roman" w:cs="Times New Roman"/>
                <w:color w:val="000000"/>
                <w:kern w:val="0"/>
                <w:sz w:val="22"/>
                <w:szCs w:val="22"/>
                <w:lang w:val="en-US" w:eastAsia="zh-CN" w:bidi="ar"/>
              </w:rPr>
              <w:t>20</w:t>
            </w:r>
            <w:r>
              <w:rPr>
                <w:rFonts w:hint="default" w:ascii="Times New Roman" w:hAnsi="Times New Roman" w:eastAsia="宋体" w:cs="Times New Roman"/>
                <w:color w:val="000000"/>
                <w:kern w:val="0"/>
                <w:sz w:val="22"/>
                <w:szCs w:val="22"/>
                <w:lang w:val="en-US" w:eastAsia="zh-CN" w:bidi="ar"/>
              </w:rPr>
              <w:t>分要求如下：</w:t>
            </w:r>
          </w:p>
          <w:p>
            <w:pPr>
              <w:widowControl/>
              <w:spacing w:line="300" w:lineRule="auto"/>
              <w:ind w:firstLine="0"/>
              <w:jc w:val="both"/>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eastAsia="宋体" w:cs="Times New Roman"/>
                <w:color w:val="000000"/>
                <w:kern w:val="0"/>
                <w:sz w:val="22"/>
                <w:szCs w:val="22"/>
                <w:lang w:val="en-US" w:eastAsia="zh-CN" w:bidi="ar"/>
              </w:rPr>
              <w:t>注：投标人必须提供合同复印件</w:t>
            </w:r>
            <w:r>
              <w:rPr>
                <w:rFonts w:hint="default" w:ascii="Times New Roman" w:hAnsi="Times New Roman" w:cs="Times New Roman"/>
                <w:color w:val="000000"/>
                <w:kern w:val="0"/>
                <w:sz w:val="22"/>
                <w:szCs w:val="22"/>
                <w:lang w:val="en-US" w:eastAsia="zh-CN" w:bidi="ar"/>
              </w:rPr>
              <w:t>或</w:t>
            </w:r>
            <w:r>
              <w:rPr>
                <w:rFonts w:hint="default" w:ascii="Times New Roman" w:hAnsi="Times New Roman" w:eastAsia="宋体" w:cs="Times New Roman"/>
                <w:color w:val="000000"/>
                <w:kern w:val="0"/>
                <w:sz w:val="22"/>
                <w:szCs w:val="22"/>
                <w:lang w:val="en-US" w:eastAsia="zh-CN" w:bidi="ar"/>
              </w:rPr>
              <w:t>验收材料等，未按要求提供的不得分。</w:t>
            </w:r>
          </w:p>
        </w:tc>
        <w:tc>
          <w:tcPr>
            <w:tcW w:w="1386" w:type="dxa"/>
            <w:noWrap w:val="0"/>
            <w:vAlign w:val="center"/>
          </w:tcPr>
          <w:p>
            <w:pPr>
              <w:widowControl/>
              <w:spacing w:line="300" w:lineRule="auto"/>
              <w:ind w:firstLine="420"/>
              <w:jc w:val="left"/>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cs="Times New Roman"/>
                <w:b w:val="0"/>
                <w:bCs w:val="0"/>
                <w:color w:val="000000"/>
                <w:kern w:val="0"/>
                <w:sz w:val="22"/>
                <w:szCs w:val="22"/>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1" w:type="dxa"/>
            <w:noWrap w:val="0"/>
            <w:vAlign w:val="center"/>
          </w:tcPr>
          <w:p>
            <w:pPr>
              <w:widowControl/>
              <w:spacing w:line="300" w:lineRule="auto"/>
              <w:ind w:firstLine="420"/>
              <w:jc w:val="both"/>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cs="Times New Roman"/>
                <w:b w:val="0"/>
                <w:bCs w:val="0"/>
                <w:color w:val="000000"/>
                <w:kern w:val="0"/>
                <w:sz w:val="22"/>
                <w:szCs w:val="22"/>
                <w:vertAlign w:val="baseline"/>
                <w:lang w:val="en-US" w:eastAsia="zh-CN"/>
              </w:rPr>
              <w:t>3</w:t>
            </w:r>
          </w:p>
        </w:tc>
        <w:tc>
          <w:tcPr>
            <w:tcW w:w="1265" w:type="dxa"/>
            <w:noWrap w:val="0"/>
            <w:vAlign w:val="center"/>
          </w:tcPr>
          <w:p>
            <w:pPr>
              <w:pageBreakBefore w:val="0"/>
              <w:widowControl/>
              <w:kinsoku/>
              <w:wordWrap/>
              <w:overflowPunct/>
              <w:topLinePunct w:val="0"/>
              <w:autoSpaceDE/>
              <w:bidi w:val="0"/>
              <w:adjustRightInd/>
              <w:snapToGrid/>
              <w:spacing w:line="300" w:lineRule="auto"/>
              <w:ind w:firstLine="0" w:firstLineChars="0"/>
              <w:jc w:val="both"/>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宋体" w:cs="Times New Roman"/>
                <w:color w:val="000000"/>
                <w:kern w:val="0"/>
                <w:sz w:val="22"/>
                <w:szCs w:val="22"/>
                <w:lang w:val="en-US" w:eastAsia="zh-CN" w:bidi="ar"/>
              </w:rPr>
              <w:t>人员配置分</w:t>
            </w:r>
          </w:p>
        </w:tc>
        <w:tc>
          <w:tcPr>
            <w:tcW w:w="5299" w:type="dxa"/>
            <w:noWrap w:val="0"/>
            <w:vAlign w:val="center"/>
          </w:tcPr>
          <w:p>
            <w:pPr>
              <w:pageBreakBefore w:val="0"/>
              <w:widowControl/>
              <w:kinsoku/>
              <w:wordWrap/>
              <w:overflowPunct/>
              <w:topLinePunct w:val="0"/>
              <w:autoSpaceDE/>
              <w:bidi w:val="0"/>
              <w:adjustRightInd/>
              <w:snapToGrid/>
              <w:spacing w:line="300" w:lineRule="auto"/>
              <w:ind w:firstLine="0" w:firstLineChars="0"/>
              <w:jc w:val="both"/>
              <w:rPr>
                <w:rFonts w:hint="eastAsia" w:ascii="Times New Roman" w:hAnsi="Times New Roman" w:cs="Times New Roman"/>
                <w:color w:val="000000"/>
                <w:kern w:val="0"/>
                <w:sz w:val="22"/>
                <w:szCs w:val="22"/>
                <w:lang w:val="en-US" w:eastAsia="zh-CN" w:bidi="ar"/>
              </w:rPr>
            </w:pPr>
            <w:r>
              <w:rPr>
                <w:rFonts w:hint="eastAsia" w:ascii="Times New Roman" w:hAnsi="Times New Roman" w:eastAsia="宋体" w:cs="Times New Roman"/>
                <w:color w:val="000000"/>
                <w:kern w:val="0"/>
                <w:sz w:val="22"/>
                <w:szCs w:val="22"/>
                <w:lang w:val="en-US" w:eastAsia="zh-CN" w:bidi="ar"/>
              </w:rPr>
              <w:t>保证本项目的售后服务有保障，供应商拟投入本项目技术力量：</w:t>
            </w:r>
            <w:r>
              <w:rPr>
                <w:rFonts w:hint="eastAsia" w:ascii="Times New Roman" w:hAnsi="Times New Roman" w:eastAsia="宋体" w:cs="Times New Roman"/>
                <w:color w:val="000000"/>
                <w:kern w:val="0"/>
                <w:sz w:val="22"/>
                <w:szCs w:val="22"/>
                <w:lang w:val="en-US" w:eastAsia="zh-CN" w:bidi="ar"/>
              </w:rPr>
              <w:br w:type="textWrapping"/>
            </w:r>
            <w:r>
              <w:rPr>
                <w:rFonts w:hint="default" w:ascii="Times New Roman" w:hAnsi="Times New Roman" w:eastAsia="宋体" w:cs="Times New Roman"/>
                <w:color w:val="000000"/>
                <w:kern w:val="0"/>
                <w:sz w:val="22"/>
                <w:szCs w:val="22"/>
                <w:lang w:val="en-US" w:eastAsia="zh-CN" w:bidi="ar"/>
              </w:rPr>
              <w:t>1.</w:t>
            </w:r>
            <w:r>
              <w:rPr>
                <w:rFonts w:hint="eastAsia" w:ascii="Times New Roman" w:hAnsi="Times New Roman" w:eastAsia="宋体" w:cs="Times New Roman"/>
                <w:color w:val="000000"/>
                <w:kern w:val="0"/>
                <w:sz w:val="22"/>
                <w:szCs w:val="22"/>
                <w:lang w:val="en-US" w:eastAsia="zh-CN" w:bidi="ar"/>
              </w:rPr>
              <w:t>供应商具有与自动化</w:t>
            </w:r>
            <w:r>
              <w:rPr>
                <w:rFonts w:hint="eastAsia" w:ascii="Times New Roman" w:hAnsi="Times New Roman" w:cs="Times New Roman"/>
                <w:color w:val="000000"/>
                <w:kern w:val="0"/>
                <w:sz w:val="22"/>
                <w:szCs w:val="22"/>
                <w:lang w:val="en-US" w:eastAsia="zh-CN" w:bidi="ar"/>
              </w:rPr>
              <w:t>、</w:t>
            </w:r>
            <w:r>
              <w:rPr>
                <w:rFonts w:hint="eastAsia" w:ascii="Times New Roman" w:hAnsi="Times New Roman" w:eastAsia="宋体" w:cs="Times New Roman"/>
                <w:color w:val="000000"/>
                <w:kern w:val="0"/>
                <w:sz w:val="22"/>
                <w:szCs w:val="22"/>
                <w:lang w:val="en-US" w:eastAsia="zh-CN" w:bidi="ar"/>
              </w:rPr>
              <w:t xml:space="preserve"> 通信</w:t>
            </w:r>
            <w:r>
              <w:rPr>
                <w:rFonts w:hint="eastAsia" w:ascii="Times New Roman" w:hAnsi="Times New Roman" w:cs="Times New Roman"/>
                <w:color w:val="000000"/>
                <w:kern w:val="0"/>
                <w:sz w:val="22"/>
                <w:szCs w:val="22"/>
                <w:lang w:val="en-US" w:eastAsia="zh-CN" w:bidi="ar"/>
              </w:rPr>
              <w:t>、</w:t>
            </w:r>
            <w:r>
              <w:rPr>
                <w:rFonts w:hint="eastAsia" w:ascii="Times New Roman" w:hAnsi="Times New Roman" w:eastAsia="宋体" w:cs="Times New Roman"/>
                <w:color w:val="000000"/>
                <w:kern w:val="0"/>
                <w:sz w:val="22"/>
                <w:szCs w:val="22"/>
                <w:lang w:val="en-US" w:eastAsia="zh-CN" w:bidi="ar"/>
              </w:rPr>
              <w:t>计算机</w:t>
            </w:r>
            <w:r>
              <w:rPr>
                <w:rFonts w:hint="eastAsia" w:ascii="Times New Roman" w:hAnsi="Times New Roman" w:cs="Times New Roman"/>
                <w:color w:val="000000"/>
                <w:kern w:val="0"/>
                <w:sz w:val="22"/>
                <w:szCs w:val="22"/>
                <w:lang w:val="en-US" w:eastAsia="zh-CN" w:bidi="ar"/>
              </w:rPr>
              <w:t>、电气类</w:t>
            </w:r>
            <w:r>
              <w:rPr>
                <w:rFonts w:hint="eastAsia" w:ascii="Times New Roman" w:hAnsi="Times New Roman" w:eastAsia="宋体" w:cs="Times New Roman"/>
                <w:color w:val="000000"/>
                <w:kern w:val="0"/>
                <w:sz w:val="22"/>
                <w:szCs w:val="22"/>
                <w:lang w:val="en-US" w:eastAsia="zh-CN" w:bidi="ar"/>
              </w:rPr>
              <w:t>专业高级工程师</w:t>
            </w:r>
            <w:r>
              <w:rPr>
                <w:rFonts w:hint="eastAsia" w:ascii="Times New Roman" w:hAnsi="Times New Roman" w:cs="Times New Roman"/>
                <w:color w:val="000000"/>
                <w:kern w:val="0"/>
                <w:sz w:val="22"/>
                <w:szCs w:val="22"/>
                <w:lang w:val="en-US" w:eastAsia="zh-CN" w:bidi="ar"/>
              </w:rPr>
              <w:t>及文物勘察设计责任设计师证书，每提供一个得2分，满分4分；</w:t>
            </w:r>
          </w:p>
          <w:p>
            <w:pPr>
              <w:pageBreakBefore w:val="0"/>
              <w:widowControl/>
              <w:kinsoku/>
              <w:wordWrap/>
              <w:overflowPunct/>
              <w:topLinePunct w:val="0"/>
              <w:autoSpaceDE/>
              <w:bidi w:val="0"/>
              <w:adjustRightInd/>
              <w:snapToGrid/>
              <w:spacing w:line="300" w:lineRule="auto"/>
              <w:ind w:firstLine="0" w:firstLineChars="0"/>
              <w:jc w:val="both"/>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cs="Times New Roman"/>
                <w:color w:val="000000"/>
                <w:kern w:val="0"/>
                <w:sz w:val="22"/>
                <w:szCs w:val="22"/>
                <w:lang w:val="en-US" w:eastAsia="zh-CN" w:bidi="ar"/>
              </w:rPr>
              <w:t>2.具有</w:t>
            </w:r>
            <w:r>
              <w:rPr>
                <w:rFonts w:hint="eastAsia" w:ascii="Times New Roman" w:hAnsi="Times New Roman" w:eastAsia="宋体" w:cs="Times New Roman"/>
                <w:color w:val="000000"/>
                <w:kern w:val="0"/>
                <w:sz w:val="22"/>
                <w:szCs w:val="22"/>
                <w:lang w:val="en-US" w:eastAsia="zh-CN" w:bidi="ar"/>
              </w:rPr>
              <w:t>自动化</w:t>
            </w:r>
            <w:r>
              <w:rPr>
                <w:rFonts w:hint="eastAsia" w:ascii="Times New Roman" w:hAnsi="Times New Roman" w:cs="Times New Roman"/>
                <w:color w:val="000000"/>
                <w:kern w:val="0"/>
                <w:sz w:val="22"/>
                <w:szCs w:val="22"/>
                <w:lang w:val="en-US" w:eastAsia="zh-CN" w:bidi="ar"/>
              </w:rPr>
              <w:t>、</w:t>
            </w:r>
            <w:r>
              <w:rPr>
                <w:rFonts w:hint="eastAsia" w:ascii="Times New Roman" w:hAnsi="Times New Roman" w:eastAsia="宋体" w:cs="Times New Roman"/>
                <w:color w:val="000000"/>
                <w:kern w:val="0"/>
                <w:sz w:val="22"/>
                <w:szCs w:val="22"/>
                <w:lang w:val="en-US" w:eastAsia="zh-CN" w:bidi="ar"/>
              </w:rPr>
              <w:t xml:space="preserve"> </w:t>
            </w:r>
            <w:r>
              <w:rPr>
                <w:rFonts w:hint="eastAsia" w:ascii="Times New Roman" w:hAnsi="Times New Roman" w:cs="Times New Roman"/>
                <w:color w:val="000000"/>
                <w:kern w:val="0"/>
                <w:sz w:val="22"/>
                <w:szCs w:val="22"/>
                <w:lang w:val="en-US" w:eastAsia="zh-CN" w:bidi="ar"/>
              </w:rPr>
              <w:t>建筑、</w:t>
            </w:r>
            <w:r>
              <w:rPr>
                <w:rFonts w:hint="eastAsia" w:ascii="Times New Roman" w:hAnsi="Times New Roman" w:eastAsia="宋体" w:cs="Times New Roman"/>
                <w:color w:val="000000"/>
                <w:kern w:val="0"/>
                <w:sz w:val="22"/>
                <w:szCs w:val="22"/>
                <w:lang w:val="en-US" w:eastAsia="zh-CN" w:bidi="ar"/>
              </w:rPr>
              <w:t>通信</w:t>
            </w:r>
            <w:r>
              <w:rPr>
                <w:rFonts w:hint="eastAsia" w:ascii="Times New Roman" w:hAnsi="Times New Roman" w:cs="Times New Roman"/>
                <w:color w:val="000000"/>
                <w:kern w:val="0"/>
                <w:sz w:val="22"/>
                <w:szCs w:val="22"/>
                <w:lang w:val="en-US" w:eastAsia="zh-CN" w:bidi="ar"/>
              </w:rPr>
              <w:t>、</w:t>
            </w:r>
            <w:r>
              <w:rPr>
                <w:rFonts w:hint="eastAsia" w:ascii="Times New Roman" w:hAnsi="Times New Roman" w:eastAsia="宋体" w:cs="Times New Roman"/>
                <w:color w:val="000000"/>
                <w:kern w:val="0"/>
                <w:sz w:val="22"/>
                <w:szCs w:val="22"/>
                <w:lang w:val="en-US" w:eastAsia="zh-CN" w:bidi="ar"/>
              </w:rPr>
              <w:t>计算机专业</w:t>
            </w:r>
            <w:r>
              <w:rPr>
                <w:rFonts w:hint="eastAsia" w:ascii="Times New Roman" w:hAnsi="Times New Roman" w:cs="Times New Roman"/>
                <w:color w:val="000000"/>
                <w:kern w:val="0"/>
                <w:sz w:val="22"/>
                <w:szCs w:val="22"/>
                <w:lang w:val="en-US" w:eastAsia="zh-CN" w:bidi="ar"/>
              </w:rPr>
              <w:t>、</w:t>
            </w:r>
            <w:r>
              <w:rPr>
                <w:rFonts w:hint="eastAsia" w:ascii="Times New Roman" w:hAnsi="Times New Roman" w:eastAsia="宋体" w:cs="Times New Roman"/>
                <w:color w:val="000000"/>
                <w:kern w:val="0"/>
                <w:sz w:val="22"/>
                <w:szCs w:val="22"/>
                <w:lang w:val="en-US" w:eastAsia="zh-CN" w:bidi="ar"/>
              </w:rPr>
              <w:t>文物研究、文物保护、文化遗产相关学历背景（本科及以上）的人员每提供一个得</w:t>
            </w:r>
            <w:r>
              <w:rPr>
                <w:rFonts w:hint="eastAsia" w:ascii="Times New Roman" w:hAnsi="Times New Roman" w:cs="Times New Roman"/>
                <w:color w:val="000000"/>
                <w:kern w:val="0"/>
                <w:sz w:val="22"/>
                <w:szCs w:val="22"/>
                <w:lang w:val="en-US" w:eastAsia="zh-CN" w:bidi="ar"/>
              </w:rPr>
              <w:t>1.5</w:t>
            </w:r>
            <w:r>
              <w:rPr>
                <w:rFonts w:hint="eastAsia" w:ascii="Times New Roman" w:hAnsi="Times New Roman" w:eastAsia="宋体" w:cs="Times New Roman"/>
                <w:color w:val="000000"/>
                <w:kern w:val="0"/>
                <w:sz w:val="22"/>
                <w:szCs w:val="22"/>
                <w:lang w:val="en-US" w:eastAsia="zh-CN" w:bidi="ar"/>
              </w:rPr>
              <w:t>分，</w:t>
            </w:r>
            <w:r>
              <w:rPr>
                <w:rFonts w:hint="eastAsia" w:ascii="Times New Roman" w:hAnsi="Times New Roman" w:cs="Times New Roman"/>
                <w:color w:val="000000"/>
                <w:kern w:val="0"/>
                <w:sz w:val="22"/>
                <w:szCs w:val="22"/>
                <w:lang w:val="en-US" w:eastAsia="zh-CN" w:bidi="ar"/>
              </w:rPr>
              <w:t>满分6分</w:t>
            </w:r>
            <w:r>
              <w:rPr>
                <w:rFonts w:hint="eastAsia" w:ascii="Times New Roman" w:hAnsi="Times New Roman" w:eastAsia="宋体" w:cs="Times New Roman"/>
                <w:color w:val="000000"/>
                <w:kern w:val="0"/>
                <w:sz w:val="22"/>
                <w:szCs w:val="22"/>
                <w:lang w:val="en-US" w:eastAsia="zh-CN" w:bidi="ar"/>
              </w:rPr>
              <w:br w:type="textWrapping"/>
            </w:r>
            <w:r>
              <w:rPr>
                <w:rFonts w:hint="eastAsia" w:ascii="Times New Roman" w:hAnsi="Times New Roman" w:eastAsia="宋体" w:cs="Times New Roman"/>
                <w:color w:val="000000"/>
                <w:kern w:val="0"/>
                <w:sz w:val="22"/>
                <w:szCs w:val="22"/>
                <w:lang w:val="en-US" w:eastAsia="zh-CN" w:bidi="ar"/>
              </w:rPr>
              <w:t>本项满分</w:t>
            </w:r>
            <w:r>
              <w:rPr>
                <w:rFonts w:hint="default" w:ascii="Times New Roman" w:hAnsi="Times New Roman" w:eastAsia="宋体" w:cs="Times New Roman"/>
                <w:color w:val="000000"/>
                <w:kern w:val="0"/>
                <w:sz w:val="22"/>
                <w:szCs w:val="22"/>
                <w:lang w:val="en-US" w:eastAsia="zh-CN" w:bidi="ar"/>
              </w:rPr>
              <w:t>10</w:t>
            </w:r>
            <w:r>
              <w:rPr>
                <w:rFonts w:hint="eastAsia" w:ascii="Times New Roman" w:hAnsi="Times New Roman" w:eastAsia="宋体" w:cs="Times New Roman"/>
                <w:color w:val="000000"/>
                <w:kern w:val="0"/>
                <w:sz w:val="22"/>
                <w:szCs w:val="22"/>
                <w:lang w:val="en-US" w:eastAsia="zh-CN" w:bidi="ar"/>
              </w:rPr>
              <w:t>分。</w:t>
            </w:r>
            <w:r>
              <w:rPr>
                <w:rFonts w:hint="eastAsia" w:ascii="Times New Roman" w:hAnsi="Times New Roman" w:eastAsia="宋体" w:cs="Times New Roman"/>
                <w:color w:val="000000"/>
                <w:kern w:val="0"/>
                <w:sz w:val="22"/>
                <w:szCs w:val="22"/>
                <w:lang w:val="en-US" w:eastAsia="zh-CN" w:bidi="ar"/>
              </w:rPr>
              <w:br w:type="textWrapping"/>
            </w:r>
            <w:r>
              <w:rPr>
                <w:rFonts w:hint="eastAsia" w:ascii="Times New Roman" w:hAnsi="Times New Roman" w:eastAsia="宋体" w:cs="Times New Roman"/>
                <w:color w:val="000000"/>
                <w:kern w:val="0"/>
                <w:sz w:val="22"/>
                <w:szCs w:val="22"/>
                <w:lang w:val="en-US" w:eastAsia="zh-CN" w:bidi="ar"/>
              </w:rPr>
              <w:t>（以上均需提供相应证书复印件、身份证，未按要求提供的不得分。以上人员不重复得分。）</w:t>
            </w:r>
          </w:p>
        </w:tc>
        <w:tc>
          <w:tcPr>
            <w:tcW w:w="1386" w:type="dxa"/>
            <w:noWrap w:val="0"/>
            <w:vAlign w:val="center"/>
          </w:tcPr>
          <w:p>
            <w:pPr>
              <w:widowControl/>
              <w:spacing w:line="300" w:lineRule="auto"/>
              <w:ind w:firstLine="420"/>
              <w:jc w:val="left"/>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cs="Times New Roman"/>
                <w:b w:val="0"/>
                <w:bCs w:val="0"/>
                <w:color w:val="000000"/>
                <w:kern w:val="0"/>
                <w:sz w:val="22"/>
                <w:szCs w:val="22"/>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1" w:type="dxa"/>
            <w:noWrap w:val="0"/>
            <w:vAlign w:val="center"/>
          </w:tcPr>
          <w:p>
            <w:pPr>
              <w:widowControl/>
              <w:spacing w:line="300" w:lineRule="auto"/>
              <w:ind w:firstLine="420"/>
              <w:jc w:val="both"/>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cs="Times New Roman"/>
                <w:b w:val="0"/>
                <w:bCs w:val="0"/>
                <w:color w:val="000000"/>
                <w:kern w:val="0"/>
                <w:sz w:val="22"/>
                <w:szCs w:val="22"/>
                <w:vertAlign w:val="baseline"/>
                <w:lang w:val="en-US" w:eastAsia="zh-CN"/>
              </w:rPr>
              <w:t>4</w:t>
            </w:r>
          </w:p>
        </w:tc>
        <w:tc>
          <w:tcPr>
            <w:tcW w:w="1265" w:type="dxa"/>
            <w:noWrap w:val="0"/>
            <w:vAlign w:val="center"/>
          </w:tcPr>
          <w:p>
            <w:pPr>
              <w:widowControl/>
              <w:spacing w:line="300" w:lineRule="auto"/>
              <w:ind w:firstLine="0"/>
              <w:jc w:val="both"/>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cs="Times New Roman"/>
                <w:b w:val="0"/>
                <w:bCs w:val="0"/>
                <w:color w:val="000000"/>
                <w:kern w:val="0"/>
                <w:sz w:val="22"/>
                <w:szCs w:val="22"/>
                <w:vertAlign w:val="baseline"/>
                <w:lang w:eastAsia="zh-CN"/>
              </w:rPr>
              <w:t>实施</w:t>
            </w:r>
            <w:r>
              <w:rPr>
                <w:rFonts w:hint="default" w:ascii="Times New Roman" w:hAnsi="Times New Roman" w:eastAsia="宋体" w:cs="Times New Roman"/>
                <w:b w:val="0"/>
                <w:bCs w:val="0"/>
                <w:color w:val="000000"/>
                <w:kern w:val="0"/>
                <w:sz w:val="22"/>
                <w:szCs w:val="22"/>
                <w:vertAlign w:val="baseline"/>
                <w:lang w:val="en-US" w:eastAsia="zh-CN"/>
              </w:rPr>
              <w:t>方案</w:t>
            </w:r>
            <w:r>
              <w:rPr>
                <w:rFonts w:hint="default" w:ascii="Times New Roman" w:hAnsi="Times New Roman" w:cs="Times New Roman"/>
                <w:b w:val="0"/>
                <w:bCs w:val="0"/>
                <w:color w:val="000000"/>
                <w:kern w:val="0"/>
                <w:sz w:val="22"/>
                <w:szCs w:val="22"/>
                <w:vertAlign w:val="baseline"/>
                <w:lang w:eastAsia="zh-CN"/>
              </w:rPr>
              <w:t>技术</w:t>
            </w:r>
            <w:r>
              <w:rPr>
                <w:rFonts w:hint="default" w:ascii="Times New Roman" w:hAnsi="Times New Roman" w:eastAsia="宋体" w:cs="Times New Roman"/>
                <w:b w:val="0"/>
                <w:bCs w:val="0"/>
                <w:color w:val="000000"/>
                <w:kern w:val="0"/>
                <w:sz w:val="22"/>
                <w:szCs w:val="22"/>
                <w:vertAlign w:val="baseline"/>
                <w:lang w:val="en-US" w:eastAsia="zh-CN"/>
              </w:rPr>
              <w:t>分</w:t>
            </w:r>
          </w:p>
        </w:tc>
        <w:tc>
          <w:tcPr>
            <w:tcW w:w="5299" w:type="dxa"/>
            <w:noWrap w:val="0"/>
            <w:vAlign w:val="center"/>
          </w:tcPr>
          <w:p>
            <w:pPr>
              <w:pageBreakBefore w:val="0"/>
              <w:widowControl/>
              <w:kinsoku/>
              <w:wordWrap/>
              <w:overflowPunct/>
              <w:topLinePunct w:val="0"/>
              <w:autoSpaceDE/>
              <w:bidi w:val="0"/>
              <w:adjustRightInd/>
              <w:snapToGrid/>
              <w:spacing w:line="300" w:lineRule="auto"/>
              <w:ind w:firstLine="0" w:firstLineChars="0"/>
              <w:jc w:val="both"/>
              <w:rPr>
                <w:rFonts w:hint="eastAsia" w:ascii="Times New Roman" w:hAnsi="Times New Roman" w:cs="Times New Roman"/>
                <w:color w:val="000000"/>
                <w:kern w:val="0"/>
                <w:sz w:val="22"/>
                <w:szCs w:val="22"/>
                <w:lang w:val="en-US" w:eastAsia="zh-CN" w:bidi="ar"/>
              </w:rPr>
            </w:pPr>
            <w:r>
              <w:rPr>
                <w:rFonts w:hint="eastAsia" w:ascii="Times New Roman" w:hAnsi="Times New Roman" w:eastAsia="宋体" w:cs="Times New Roman"/>
                <w:color w:val="000000"/>
                <w:kern w:val="0"/>
                <w:sz w:val="22"/>
                <w:szCs w:val="22"/>
                <w:lang w:val="en-US" w:eastAsia="zh-CN" w:bidi="ar"/>
              </w:rPr>
              <w:t>根据供应商针对本项目实际情况制定的项目实施方案进行综合评审，内容包括：①项目背景②建设依据与实施原则</w:t>
            </w:r>
            <w:r>
              <w:rPr>
                <w:rFonts w:hint="default" w:ascii="Times New Roman" w:hAnsi="Times New Roman" w:cs="Times New Roman"/>
                <w:color w:val="000000"/>
                <w:kern w:val="0"/>
                <w:sz w:val="22"/>
                <w:szCs w:val="22"/>
                <w:lang w:eastAsia="zh-CN" w:bidi="ar"/>
              </w:rPr>
              <w:t>③</w:t>
            </w:r>
            <w:r>
              <w:rPr>
                <w:rFonts w:hint="eastAsia" w:ascii="Times New Roman" w:hAnsi="Times New Roman" w:eastAsia="宋体" w:cs="Times New Roman"/>
                <w:color w:val="000000"/>
                <w:kern w:val="0"/>
                <w:sz w:val="22"/>
                <w:szCs w:val="22"/>
                <w:lang w:val="en-US" w:eastAsia="zh-CN" w:bidi="ar"/>
              </w:rPr>
              <w:t>项目必要性与总体目标</w:t>
            </w:r>
            <w:r>
              <w:rPr>
                <w:rFonts w:hint="default" w:ascii="Times New Roman" w:hAnsi="Times New Roman" w:cs="Times New Roman"/>
                <w:color w:val="000000"/>
                <w:kern w:val="0"/>
                <w:sz w:val="22"/>
                <w:szCs w:val="22"/>
                <w:lang w:eastAsia="zh-CN" w:bidi="ar"/>
              </w:rPr>
              <w:t>④</w:t>
            </w:r>
            <w:r>
              <w:rPr>
                <w:rFonts w:hint="eastAsia" w:ascii="Times New Roman" w:hAnsi="Times New Roman" w:eastAsia="宋体" w:cs="Times New Roman"/>
                <w:color w:val="000000"/>
                <w:kern w:val="0"/>
                <w:sz w:val="22"/>
                <w:szCs w:val="22"/>
                <w:lang w:val="en-US" w:eastAsia="zh-CN" w:bidi="ar"/>
              </w:rPr>
              <w:t>建设任务与技术方案</w:t>
            </w:r>
            <w:r>
              <w:rPr>
                <w:rFonts w:hint="eastAsia" w:ascii="Times New Roman" w:hAnsi="Times New Roman" w:cs="Times New Roman"/>
                <w:color w:val="000000"/>
                <w:kern w:val="0"/>
                <w:sz w:val="22"/>
                <w:szCs w:val="22"/>
                <w:lang w:val="en-US" w:eastAsia="zh-CN" w:bidi="ar"/>
              </w:rPr>
              <w:t>（包括但不限于</w:t>
            </w:r>
            <w:r>
              <w:rPr>
                <w:rFonts w:ascii="宋体" w:hAnsi="宋体" w:eastAsia="宋体" w:cs="宋体"/>
                <w:sz w:val="24"/>
                <w:szCs w:val="24"/>
              </w:rPr>
              <w:t>针对点位分散、偏远、文物保护特殊要求等提出可行解决方案</w:t>
            </w:r>
            <w:r>
              <w:rPr>
                <w:rFonts w:hint="eastAsia" w:ascii="宋体" w:hAnsi="宋体" w:eastAsia="宋体" w:cs="宋体"/>
                <w:sz w:val="24"/>
                <w:szCs w:val="24"/>
                <w:lang w:eastAsia="zh-CN"/>
              </w:rPr>
              <w:t>）</w:t>
            </w:r>
            <w:r>
              <w:rPr>
                <w:rFonts w:hint="default" w:ascii="Times New Roman" w:hAnsi="Times New Roman" w:cs="Times New Roman"/>
                <w:color w:val="000000"/>
                <w:kern w:val="0"/>
                <w:sz w:val="22"/>
                <w:szCs w:val="22"/>
                <w:lang w:eastAsia="zh-CN" w:bidi="ar"/>
              </w:rPr>
              <w:t>⑤</w:t>
            </w:r>
            <w:r>
              <w:rPr>
                <w:rFonts w:hint="eastAsia" w:ascii="Times New Roman" w:hAnsi="Times New Roman" w:eastAsia="宋体" w:cs="Times New Roman"/>
                <w:color w:val="000000"/>
                <w:kern w:val="0"/>
                <w:sz w:val="22"/>
                <w:szCs w:val="22"/>
                <w:lang w:val="en-US" w:eastAsia="zh-CN" w:bidi="ar"/>
              </w:rPr>
              <w:t>实施组织与进度安排</w:t>
            </w:r>
            <w:r>
              <w:rPr>
                <w:rFonts w:hint="default" w:ascii="Times New Roman" w:hAnsi="Times New Roman" w:cs="Times New Roman"/>
                <w:color w:val="000000"/>
                <w:kern w:val="0"/>
                <w:sz w:val="22"/>
                <w:szCs w:val="22"/>
                <w:lang w:eastAsia="zh-CN" w:bidi="ar"/>
              </w:rPr>
              <w:t>及</w:t>
            </w:r>
            <w:r>
              <w:rPr>
                <w:rFonts w:hint="eastAsia" w:ascii="Times New Roman" w:hAnsi="Times New Roman" w:eastAsia="宋体" w:cs="Times New Roman"/>
                <w:color w:val="000000"/>
                <w:kern w:val="0"/>
                <w:sz w:val="22"/>
                <w:szCs w:val="22"/>
                <w:lang w:val="en-US" w:eastAsia="zh-CN" w:bidi="ar"/>
              </w:rPr>
              <w:t>项目预期成效等；以上方案内容完整、全面、符合本项目实际的得</w:t>
            </w:r>
            <w:r>
              <w:rPr>
                <w:rFonts w:hint="default" w:ascii="Times New Roman" w:hAnsi="Times New Roman" w:eastAsia="宋体" w:cs="Times New Roman"/>
                <w:color w:val="000000"/>
                <w:kern w:val="0"/>
                <w:sz w:val="22"/>
                <w:szCs w:val="22"/>
                <w:lang w:val="en-US" w:eastAsia="zh-CN" w:bidi="ar"/>
              </w:rPr>
              <w:t>40</w:t>
            </w:r>
            <w:r>
              <w:rPr>
                <w:rFonts w:hint="eastAsia" w:ascii="Times New Roman" w:hAnsi="Times New Roman" w:eastAsia="宋体" w:cs="Times New Roman"/>
                <w:color w:val="000000"/>
                <w:kern w:val="0"/>
                <w:sz w:val="22"/>
                <w:szCs w:val="22"/>
                <w:lang w:val="en-US" w:eastAsia="zh-CN" w:bidi="ar"/>
              </w:rPr>
              <w:t>分，每缺一项扣</w:t>
            </w:r>
            <w:r>
              <w:rPr>
                <w:rFonts w:hint="default" w:ascii="Times New Roman" w:hAnsi="Times New Roman" w:cs="Times New Roman"/>
                <w:color w:val="000000"/>
                <w:kern w:val="0"/>
                <w:sz w:val="22"/>
                <w:szCs w:val="22"/>
                <w:lang w:eastAsia="zh-CN" w:bidi="ar"/>
              </w:rPr>
              <w:t>8</w:t>
            </w:r>
            <w:r>
              <w:rPr>
                <w:rFonts w:hint="eastAsia" w:ascii="Times New Roman" w:hAnsi="Times New Roman" w:eastAsia="宋体" w:cs="Times New Roman"/>
                <w:color w:val="000000"/>
                <w:kern w:val="0"/>
                <w:sz w:val="22"/>
                <w:szCs w:val="22"/>
                <w:lang w:val="en-US" w:eastAsia="zh-CN" w:bidi="ar"/>
              </w:rPr>
              <w:t>分</w:t>
            </w:r>
            <w:r>
              <w:rPr>
                <w:rFonts w:hint="eastAsia" w:ascii="Times New Roman" w:hAnsi="Times New Roman" w:cs="Times New Roman"/>
                <w:color w:val="000000"/>
                <w:kern w:val="0"/>
                <w:sz w:val="22"/>
                <w:szCs w:val="22"/>
                <w:lang w:val="en-US" w:eastAsia="zh-CN" w:bidi="ar"/>
              </w:rPr>
              <w:t>；</w:t>
            </w:r>
          </w:p>
          <w:p>
            <w:pPr>
              <w:pageBreakBefore w:val="0"/>
              <w:widowControl/>
              <w:kinsoku/>
              <w:wordWrap/>
              <w:overflowPunct/>
              <w:topLinePunct w:val="0"/>
              <w:autoSpaceDE/>
              <w:bidi w:val="0"/>
              <w:adjustRightInd/>
              <w:snapToGrid/>
              <w:spacing w:line="300" w:lineRule="auto"/>
              <w:ind w:firstLine="0" w:firstLineChars="0"/>
              <w:jc w:val="both"/>
              <w:rPr>
                <w:rFonts w:hint="default" w:ascii="Times New Roman" w:hAnsi="Times New Roman" w:eastAsia="宋体" w:cs="Times New Roman"/>
                <w:b w:val="0"/>
                <w:bCs w:val="0"/>
                <w:color w:val="FF0000"/>
                <w:kern w:val="0"/>
                <w:sz w:val="22"/>
                <w:szCs w:val="22"/>
                <w:vertAlign w:val="baseline"/>
                <w:lang w:val="en-US" w:eastAsia="zh-CN"/>
              </w:rPr>
            </w:pPr>
            <w:r>
              <w:rPr>
                <w:rFonts w:ascii="宋体" w:hAnsi="宋体" w:eastAsia="宋体" w:cs="宋体"/>
                <w:sz w:val="24"/>
                <w:szCs w:val="24"/>
              </w:rPr>
              <w:t>方案内容存在疏漏、偏差、不合理情形的，每发现一处扣 2 分，扣至本项分值扣完为止。前述情形包括但不限于项目名称、实施地点、实施时间、引用规范标准与项目要求不符，方案套用其他项目、内容与实际情况脱节、存在无关内容、表述前后矛盾、不符合采购实际需求等。</w:t>
            </w:r>
          </w:p>
        </w:tc>
        <w:tc>
          <w:tcPr>
            <w:tcW w:w="1386" w:type="dxa"/>
            <w:noWrap w:val="0"/>
            <w:vAlign w:val="center"/>
          </w:tcPr>
          <w:p>
            <w:pPr>
              <w:widowControl/>
              <w:spacing w:line="300" w:lineRule="auto"/>
              <w:ind w:firstLine="420"/>
              <w:jc w:val="left"/>
              <w:rPr>
                <w:rFonts w:hint="default" w:ascii="Times New Roman" w:hAnsi="Times New Roman" w:eastAsia="宋体" w:cs="Times New Roman"/>
                <w:b w:val="0"/>
                <w:bCs w:val="0"/>
                <w:color w:val="000000"/>
                <w:kern w:val="0"/>
                <w:sz w:val="22"/>
                <w:szCs w:val="22"/>
                <w:vertAlign w:val="baseline"/>
                <w:lang w:val="en-US" w:eastAsia="zh-CN"/>
              </w:rPr>
            </w:pPr>
            <w:r>
              <w:rPr>
                <w:rFonts w:hint="default" w:ascii="Times New Roman" w:hAnsi="Times New Roman" w:cs="Times New Roman"/>
                <w:b w:val="0"/>
                <w:bCs w:val="0"/>
                <w:color w:val="000000"/>
                <w:kern w:val="0"/>
                <w:sz w:val="22"/>
                <w:szCs w:val="22"/>
                <w:vertAlign w:val="baseline"/>
                <w:lang w:val="en-US" w:eastAsia="zh-CN"/>
              </w:rPr>
              <w:t>40</w:t>
            </w:r>
          </w:p>
        </w:tc>
      </w:tr>
    </w:tbl>
    <w:p>
      <w:pPr>
        <w:pStyle w:val="2"/>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default" w:ascii="Times New Roman" w:hAnsi="Times New Roman" w:eastAsia="黑体" w:cs="Times New Roman"/>
          <w:b w:val="0"/>
          <w:bCs w:val="0"/>
          <w:color w:val="464646"/>
          <w:sz w:val="32"/>
          <w:szCs w:val="32"/>
        </w:rPr>
      </w:pPr>
      <w:r>
        <w:rPr>
          <w:rFonts w:hint="default" w:ascii="Times New Roman" w:hAnsi="Times New Roman" w:eastAsia="黑体" w:cs="Times New Roman"/>
          <w:b w:val="0"/>
          <w:bCs w:val="0"/>
          <w:color w:val="464646"/>
          <w:sz w:val="32"/>
          <w:szCs w:val="32"/>
          <w:lang w:val="en-US" w:eastAsia="zh-CN"/>
        </w:rPr>
        <w:t>九</w:t>
      </w:r>
      <w:r>
        <w:rPr>
          <w:rFonts w:hint="default" w:ascii="Times New Roman" w:hAnsi="Times New Roman" w:eastAsia="黑体" w:cs="Times New Roman"/>
          <w:b w:val="0"/>
          <w:bCs w:val="0"/>
          <w:color w:val="464646"/>
          <w:sz w:val="32"/>
          <w:szCs w:val="32"/>
        </w:rPr>
        <w:t>、</w:t>
      </w:r>
      <w:r>
        <w:rPr>
          <w:rStyle w:val="17"/>
          <w:rFonts w:hint="default" w:ascii="Times New Roman" w:hAnsi="Times New Roman" w:eastAsia="黑体" w:cs="Times New Roman"/>
          <w:b w:val="0"/>
          <w:bCs/>
          <w:i w:val="0"/>
          <w:caps w:val="0"/>
          <w:color w:val="383838"/>
          <w:spacing w:val="0"/>
          <w:sz w:val="32"/>
          <w:szCs w:val="32"/>
          <w:shd w:val="clear" w:color="auto" w:fill="FFFFFF"/>
          <w:vertAlign w:val="baseline"/>
          <w:lang w:val="en" w:eastAsia="zh-CN"/>
        </w:rPr>
        <w:t>合同履行周期</w:t>
      </w:r>
    </w:p>
    <w:p>
      <w:pPr>
        <w:pStyle w:val="2"/>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default" w:ascii="Times New Roman" w:hAnsi="Times New Roman" w:eastAsia="黑体" w:cs="Times New Roman"/>
          <w:b w:val="0"/>
          <w:bCs w:val="0"/>
          <w:color w:val="464646"/>
          <w:sz w:val="32"/>
          <w:szCs w:val="32"/>
          <w:lang w:eastAsia="zh-CN"/>
        </w:rPr>
      </w:pPr>
      <w:r>
        <w:rPr>
          <w:rFonts w:hint="default" w:ascii="Times New Roman" w:hAnsi="Times New Roman" w:eastAsia="仿宋_GB2312" w:cs="Times New Roman"/>
          <w:b w:val="0"/>
          <w:bCs w:val="0"/>
          <w:color w:val="auto"/>
          <w:kern w:val="2"/>
          <w:sz w:val="32"/>
          <w:szCs w:val="32"/>
          <w:lang w:val="en-US" w:eastAsia="zh-CN" w:bidi="ar-SA"/>
        </w:rPr>
        <w:t>本次采购项目的合同履行周期自合同签订之日起为期</w:t>
      </w:r>
      <w:r>
        <w:rPr>
          <w:rFonts w:hint="eastAsia" w:ascii="Times New Roman" w:hAnsi="Times New Roman" w:eastAsia="仿宋_GB2312" w:cs="Times New Roman"/>
          <w:b w:val="0"/>
          <w:bCs w:val="0"/>
          <w:color w:val="auto"/>
          <w:kern w:val="2"/>
          <w:sz w:val="32"/>
          <w:szCs w:val="32"/>
          <w:lang w:val="en-US" w:eastAsia="zh-CN" w:bidi="ar-SA"/>
        </w:rPr>
        <w:t>2个月</w:t>
      </w:r>
      <w:r>
        <w:rPr>
          <w:rFonts w:hint="default" w:ascii="Times New Roman" w:hAnsi="Times New Roman" w:eastAsia="仿宋_GB2312"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kern w:val="2"/>
          <w:sz w:val="32"/>
          <w:szCs w:val="32"/>
          <w:lang w:val="en-US" w:eastAsia="zh-CN" w:bidi="ar-SA"/>
        </w:rPr>
        <w:t>供应商需在此期限内完成本方案的所有要求并确保质量。</w:t>
      </w:r>
    </w:p>
    <w:p>
      <w:pPr>
        <w:pStyle w:val="2"/>
        <w:keepNext w:val="0"/>
        <w:keepLines w:val="0"/>
        <w:pageBreakBefore w:val="0"/>
        <w:kinsoku/>
        <w:wordWrap/>
        <w:overflowPunct/>
        <w:topLinePunct w:val="0"/>
        <w:autoSpaceDE/>
        <w:autoSpaceDN/>
        <w:bidi w:val="0"/>
        <w:adjustRightInd/>
        <w:snapToGrid/>
        <w:spacing w:line="579" w:lineRule="exact"/>
        <w:ind w:left="0" w:leftChars="0" w:firstLine="640" w:firstLineChars="200"/>
        <w:jc w:val="left"/>
        <w:rPr>
          <w:rFonts w:hint="default" w:ascii="Times New Roman" w:hAnsi="Times New Roman" w:eastAsia="黑体" w:cs="Times New Roman"/>
          <w:b w:val="0"/>
          <w:bCs w:val="0"/>
          <w:color w:val="464646"/>
          <w:sz w:val="32"/>
          <w:szCs w:val="32"/>
        </w:rPr>
      </w:pPr>
      <w:r>
        <w:rPr>
          <w:rFonts w:hint="default" w:ascii="Times New Roman" w:hAnsi="Times New Roman" w:eastAsia="黑体" w:cs="Times New Roman"/>
          <w:b w:val="0"/>
          <w:bCs w:val="0"/>
          <w:color w:val="464646"/>
          <w:sz w:val="32"/>
          <w:szCs w:val="32"/>
          <w:lang w:eastAsia="zh-CN"/>
        </w:rPr>
        <w:t>十、</w:t>
      </w:r>
      <w:r>
        <w:rPr>
          <w:rFonts w:hint="default" w:ascii="Times New Roman" w:hAnsi="Times New Roman" w:eastAsia="黑体" w:cs="Times New Roman"/>
          <w:b w:val="0"/>
          <w:bCs w:val="0"/>
          <w:color w:val="464646"/>
          <w:sz w:val="32"/>
          <w:szCs w:val="32"/>
        </w:rPr>
        <w:t>获取采购文件及报价文件提交</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FF0000"/>
          <w:sz w:val="32"/>
          <w:szCs w:val="32"/>
        </w:rPr>
      </w:pPr>
      <w:r>
        <w:rPr>
          <w:rFonts w:hint="default" w:ascii="Times New Roman" w:hAnsi="Times New Roman" w:eastAsia="仿宋_GB2312" w:cs="Times New Roman"/>
          <w:b w:val="0"/>
          <w:bCs w:val="0"/>
          <w:color w:val="000000"/>
          <w:sz w:val="32"/>
          <w:szCs w:val="32"/>
        </w:rPr>
        <w:t>获取采购文件：见</w:t>
      </w:r>
      <w:r>
        <w:rPr>
          <w:rFonts w:hint="default" w:ascii="Times New Roman" w:hAnsi="Times New Roman" w:eastAsia="仿宋_GB2312" w:cs="Times New Roman"/>
          <w:b w:val="0"/>
          <w:bCs w:val="0"/>
          <w:color w:val="000000"/>
          <w:sz w:val="32"/>
          <w:szCs w:val="32"/>
          <w:lang w:eastAsia="zh-CN"/>
        </w:rPr>
        <w:t>磋商</w:t>
      </w:r>
      <w:r>
        <w:rPr>
          <w:rFonts w:hint="default" w:ascii="Times New Roman" w:hAnsi="Times New Roman" w:eastAsia="仿宋_GB2312" w:cs="Times New Roman"/>
          <w:b w:val="0"/>
          <w:bCs w:val="0"/>
          <w:color w:val="000000"/>
          <w:sz w:val="32"/>
          <w:szCs w:val="32"/>
        </w:rPr>
        <w:t>邀请函附件</w:t>
      </w:r>
    </w:p>
    <w:p>
      <w:pPr>
        <w:keepNext w:val="0"/>
        <w:keepLines w:val="0"/>
        <w:pageBreakBefore w:val="0"/>
        <w:kinsoku/>
        <w:wordWrap/>
        <w:overflowPunct/>
        <w:topLinePunct w:val="0"/>
        <w:autoSpaceDE/>
        <w:autoSpaceDN/>
        <w:bidi w:val="0"/>
        <w:adjustRightInd/>
        <w:snapToGrid/>
        <w:spacing w:line="579" w:lineRule="exact"/>
        <w:ind w:firstLine="640" w:firstLineChars="200"/>
        <w:rPr>
          <w:rFonts w:hint="default" w:ascii="Times New Roman" w:hAnsi="Times New Roman" w:eastAsia="仿宋_GB2312" w:cs="Times New Roman"/>
          <w:b w:val="0"/>
          <w:bCs w:val="0"/>
          <w:sz w:val="32"/>
          <w:szCs w:val="32"/>
          <w:lang w:val="en"/>
        </w:rPr>
      </w:pPr>
      <w:r>
        <w:rPr>
          <w:rFonts w:hint="default" w:ascii="Times New Roman" w:hAnsi="Times New Roman" w:eastAsia="仿宋_GB2312" w:cs="Times New Roman"/>
          <w:b w:val="0"/>
          <w:bCs w:val="0"/>
          <w:sz w:val="32"/>
          <w:szCs w:val="32"/>
        </w:rPr>
        <w:t>报价文件有效期：自报价文件开启之日起</w:t>
      </w:r>
      <w:r>
        <w:rPr>
          <w:rFonts w:hint="default" w:ascii="Times New Roman" w:hAnsi="Times New Roman" w:eastAsia="仿宋_GB2312" w:cs="Times New Roman"/>
          <w:b w:val="0"/>
          <w:bCs w:val="0"/>
          <w:sz w:val="32"/>
          <w:szCs w:val="32"/>
          <w:lang w:val="en"/>
        </w:rPr>
        <w:t>30</w:t>
      </w:r>
      <w:r>
        <w:rPr>
          <w:rFonts w:hint="default" w:ascii="Times New Roman" w:hAnsi="Times New Roman" w:eastAsia="仿宋_GB2312" w:cs="Times New Roman"/>
          <w:b w:val="0"/>
          <w:bCs w:val="0"/>
          <w:sz w:val="32"/>
          <w:szCs w:val="32"/>
        </w:rPr>
        <w:t>天</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报价文件份数：</w:t>
      </w:r>
      <w:r>
        <w:rPr>
          <w:rFonts w:hint="default" w:ascii="Times New Roman" w:hAnsi="Times New Roman"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lang w:val="en"/>
        </w:rPr>
        <w:t>份</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b w:val="0"/>
          <w:bCs w:val="0"/>
          <w:color w:val="000000"/>
          <w:sz w:val="32"/>
          <w:szCs w:val="32"/>
        </w:rPr>
        <w:t xml:space="preserve">提交方式：现场递交 </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采购人：三亚市旅游和文化广电体育局</w:t>
      </w:r>
    </w:p>
    <w:p>
      <w:pPr>
        <w:keepNext w:val="0"/>
        <w:keepLines w:val="0"/>
        <w:widowControl/>
        <w:suppressLineNumbers w:val="0"/>
        <w:jc w:val="left"/>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 xml:space="preserve">    </w:t>
      </w:r>
      <w:r>
        <w:rPr>
          <w:rFonts w:hint="default" w:ascii="Times New Roman" w:hAnsi="Times New Roman" w:eastAsia="仿宋_GB2312" w:cs="Times New Roman"/>
          <w:b w:val="0"/>
          <w:bCs w:val="0"/>
          <w:color w:val="000000"/>
          <w:sz w:val="32"/>
          <w:szCs w:val="32"/>
        </w:rPr>
        <w:t>地址：</w:t>
      </w:r>
      <w:r>
        <w:rPr>
          <w:rFonts w:hint="default" w:ascii="Times New Roman" w:hAnsi="Times New Roman" w:eastAsia="仿宋_GB2312" w:cs="Times New Roman"/>
          <w:b w:val="0"/>
          <w:bCs w:val="0"/>
          <w:color w:val="000000"/>
          <w:kern w:val="2"/>
          <w:sz w:val="32"/>
          <w:szCs w:val="32"/>
          <w:lang w:val="en-US" w:eastAsia="zh-CN" w:bidi="ar-SA"/>
        </w:rPr>
        <w:t>三亚市吉阳区东岸一路旅文三亚总部港A2栋8层2号会议室</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left"/>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rPr>
        <w:t>联系人：</w:t>
      </w:r>
      <w:r>
        <w:rPr>
          <w:rFonts w:hint="default" w:ascii="Times New Roman" w:hAnsi="Times New Roman" w:eastAsia="仿宋_GB2312" w:cs="Times New Roman"/>
          <w:b w:val="0"/>
          <w:bCs w:val="0"/>
          <w:color w:val="000000"/>
          <w:sz w:val="32"/>
          <w:szCs w:val="32"/>
          <w:lang w:val="en" w:eastAsia="zh-CN"/>
        </w:rPr>
        <w:t>何</w:t>
      </w:r>
      <w:r>
        <w:rPr>
          <w:rFonts w:hint="default" w:ascii="Times New Roman" w:hAnsi="Times New Roman" w:eastAsia="仿宋_GB2312" w:cs="Times New Roman"/>
          <w:b w:val="0"/>
          <w:bCs w:val="0"/>
          <w:color w:val="000000"/>
          <w:sz w:val="32"/>
          <w:szCs w:val="32"/>
          <w:lang w:val="en-US" w:eastAsia="zh-CN"/>
        </w:rPr>
        <w:t>先生</w:t>
      </w:r>
      <w:r>
        <w:rPr>
          <w:rFonts w:hint="default" w:ascii="Times New Roman" w:hAnsi="Times New Roman" w:eastAsia="仿宋_GB2312" w:cs="Times New Roman"/>
          <w:b w:val="0"/>
          <w:bCs w:val="0"/>
          <w:color w:val="000000"/>
          <w:sz w:val="32"/>
          <w:szCs w:val="32"/>
        </w:rPr>
        <w:t>，电话：88</w:t>
      </w:r>
      <w:r>
        <w:rPr>
          <w:rFonts w:hint="default" w:ascii="Times New Roman" w:hAnsi="Times New Roman" w:eastAsia="仿宋_GB2312" w:cs="Times New Roman"/>
          <w:b w:val="0"/>
          <w:bCs w:val="0"/>
          <w:color w:val="000000"/>
          <w:sz w:val="32"/>
          <w:szCs w:val="32"/>
          <w:lang w:val="en-US" w:eastAsia="zh-CN"/>
        </w:rPr>
        <w:t>281937</w:t>
      </w:r>
    </w:p>
    <w:p>
      <w:pPr>
        <w:ind w:firstLine="640" w:firstLineChars="200"/>
        <w:rPr>
          <w:rFonts w:hint="default"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b w:val="0"/>
          <w:bCs w:val="0"/>
          <w:sz w:val="32"/>
          <w:szCs w:val="32"/>
        </w:rPr>
        <w:t>各单位</w:t>
      </w:r>
      <w:r>
        <w:rPr>
          <w:rFonts w:hint="default" w:ascii="Times New Roman" w:hAnsi="Times New Roman" w:eastAsia="仿宋_GB2312" w:cs="Times New Roman"/>
          <w:b w:val="0"/>
          <w:bCs w:val="0"/>
          <w:sz w:val="32"/>
          <w:szCs w:val="32"/>
          <w:lang w:val="en-US" w:eastAsia="zh-CN"/>
        </w:rPr>
        <w:t>竞争性磋商</w:t>
      </w:r>
      <w:r>
        <w:rPr>
          <w:rFonts w:hint="default" w:ascii="Times New Roman" w:hAnsi="Times New Roman" w:eastAsia="仿宋_GB2312" w:cs="Times New Roman"/>
          <w:b w:val="0"/>
          <w:bCs w:val="0"/>
          <w:sz w:val="32"/>
          <w:szCs w:val="32"/>
        </w:rPr>
        <w:t>文件由单位自行保管</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密封）</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磋商</w:t>
      </w:r>
      <w:r>
        <w:rPr>
          <w:rFonts w:hint="default" w:ascii="Times New Roman" w:hAnsi="Times New Roman" w:eastAsia="仿宋_GB2312" w:cs="Times New Roman"/>
          <w:b w:val="0"/>
          <w:bCs w:val="0"/>
          <w:sz w:val="32"/>
          <w:szCs w:val="32"/>
        </w:rPr>
        <w:t>当日在现场打开，无需提前递交。</w:t>
      </w: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right"/>
        <w:rPr>
          <w:rFonts w:hint="default" w:ascii="Times New Roman" w:hAnsi="Times New Roman" w:eastAsia="仿宋_GB2312" w:cs="Times New Roman"/>
          <w:b w:val="0"/>
          <w:bCs w:val="0"/>
          <w:color w:val="000000"/>
          <w:sz w:val="32"/>
          <w:szCs w:val="32"/>
          <w:lang w:eastAsia="zh-CN"/>
        </w:rPr>
      </w:pPr>
    </w:p>
    <w:p>
      <w:pPr>
        <w:pStyle w:val="2"/>
        <w:keepNext w:val="0"/>
        <w:keepLines w:val="0"/>
        <w:pageBreakBefore w:val="0"/>
        <w:kinsoku/>
        <w:wordWrap/>
        <w:overflowPunct/>
        <w:topLinePunct w:val="0"/>
        <w:autoSpaceDE/>
        <w:autoSpaceDN/>
        <w:bidi w:val="0"/>
        <w:adjustRightInd/>
        <w:snapToGrid/>
        <w:spacing w:line="579" w:lineRule="exact"/>
        <w:ind w:left="0" w:firstLine="640" w:firstLineChars="200"/>
        <w:jc w:val="right"/>
        <w:rPr>
          <w:rFonts w:hint="default"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b w:val="0"/>
          <w:bCs w:val="0"/>
          <w:color w:val="000000"/>
          <w:sz w:val="32"/>
          <w:szCs w:val="32"/>
          <w:lang w:eastAsia="zh-CN"/>
        </w:rPr>
        <w:t>三亚市旅游和文化广电体育局</w:t>
      </w:r>
    </w:p>
    <w:p>
      <w:pPr>
        <w:jc w:val="center"/>
        <w:rPr>
          <w:rFonts w:hint="default" w:ascii="Times New Roman" w:hAnsi="Times New Roman" w:eastAsia="仿宋_GB2312" w:cs="Times New Roman"/>
          <w:b w:val="0"/>
          <w:bCs w:val="0"/>
          <w:color w:val="000000"/>
          <w:sz w:val="15"/>
          <w:szCs w:val="15"/>
          <w:lang w:val="en-US" w:eastAsia="zh-CN"/>
        </w:rPr>
      </w:pPr>
      <w:r>
        <w:rPr>
          <w:rFonts w:hint="default" w:ascii="Times New Roman" w:hAnsi="Times New Roman" w:eastAsia="仿宋_GB2312" w:cs="Times New Roman"/>
          <w:b w:val="0"/>
          <w:bCs w:val="0"/>
          <w:color w:val="000000"/>
          <w:sz w:val="32"/>
          <w:szCs w:val="32"/>
          <w:lang w:val="en-US" w:eastAsia="zh-CN"/>
        </w:rPr>
        <w:t xml:space="preserve">                               2026年</w:t>
      </w:r>
      <w:r>
        <w:rPr>
          <w:rFonts w:hint="eastAsia" w:ascii="Times New Roman" w:hAnsi="Times New Roman" w:eastAsia="仿宋_GB2312" w:cs="Times New Roman"/>
          <w:b w:val="0"/>
          <w:bCs w:val="0"/>
          <w:color w:val="000000"/>
          <w:sz w:val="32"/>
          <w:szCs w:val="32"/>
          <w:lang w:val="en-US" w:eastAsia="zh-CN"/>
        </w:rPr>
        <w:t>8</w:t>
      </w:r>
      <w:r>
        <w:rPr>
          <w:rFonts w:hint="default" w:ascii="Times New Roman" w:hAnsi="Times New Roman" w:eastAsia="仿宋_GB2312" w:cs="Times New Roman"/>
          <w:b w:val="0"/>
          <w:bCs w:val="0"/>
          <w:color w:val="000000"/>
          <w:sz w:val="32"/>
          <w:szCs w:val="32"/>
          <w:lang w:val="en-US" w:eastAsia="zh-CN"/>
        </w:rPr>
        <w:t>月</w:t>
      </w:r>
      <w:r>
        <w:rPr>
          <w:rFonts w:hint="eastAsia" w:ascii="Times New Roman" w:hAnsi="Times New Roman" w:eastAsia="仿宋_GB2312" w:cs="Times New Roman"/>
          <w:b w:val="0"/>
          <w:bCs w:val="0"/>
          <w:color w:val="000000"/>
          <w:sz w:val="32"/>
          <w:szCs w:val="32"/>
          <w:lang w:val="en-US" w:eastAsia="zh-CN"/>
        </w:rPr>
        <w:t>20</w:t>
      </w:r>
      <w:r>
        <w:rPr>
          <w:rFonts w:hint="default" w:ascii="Times New Roman" w:hAnsi="Times New Roman" w:eastAsia="仿宋_GB2312" w:cs="Times New Roman"/>
          <w:b w:val="0"/>
          <w:bCs w:val="0"/>
          <w:color w:val="000000"/>
          <w:sz w:val="32"/>
          <w:szCs w:val="32"/>
          <w:lang w:val="en-US" w:eastAsia="zh-CN"/>
        </w:rPr>
        <w:t>日</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hZDFlNDQ1ZGY3MTVkNDc5ODAwNTVkNThmOGU0YzIifQ=="/>
  </w:docVars>
  <w:rsids>
    <w:rsidRoot w:val="00000000"/>
    <w:rsid w:val="00CF110C"/>
    <w:rsid w:val="01527F71"/>
    <w:rsid w:val="023512AC"/>
    <w:rsid w:val="025B5D93"/>
    <w:rsid w:val="02A132FE"/>
    <w:rsid w:val="02A520E6"/>
    <w:rsid w:val="030D0734"/>
    <w:rsid w:val="03333E7A"/>
    <w:rsid w:val="03745DC1"/>
    <w:rsid w:val="03A05652"/>
    <w:rsid w:val="03D53D87"/>
    <w:rsid w:val="041E4ABF"/>
    <w:rsid w:val="04826D2E"/>
    <w:rsid w:val="04D55AE8"/>
    <w:rsid w:val="05A625A8"/>
    <w:rsid w:val="05BD6056"/>
    <w:rsid w:val="065A7757"/>
    <w:rsid w:val="066300E8"/>
    <w:rsid w:val="07825D59"/>
    <w:rsid w:val="07983E97"/>
    <w:rsid w:val="07F4BE29"/>
    <w:rsid w:val="083A2C5B"/>
    <w:rsid w:val="087A797A"/>
    <w:rsid w:val="0A652A31"/>
    <w:rsid w:val="0BD27AA6"/>
    <w:rsid w:val="0BED0FC6"/>
    <w:rsid w:val="0EBC52F9"/>
    <w:rsid w:val="1061656C"/>
    <w:rsid w:val="112D5510"/>
    <w:rsid w:val="11BF1A3D"/>
    <w:rsid w:val="122861C8"/>
    <w:rsid w:val="12E2404E"/>
    <w:rsid w:val="12EC0194"/>
    <w:rsid w:val="137C3A6B"/>
    <w:rsid w:val="13AF2F6F"/>
    <w:rsid w:val="144E4761"/>
    <w:rsid w:val="15A765F4"/>
    <w:rsid w:val="15FF152C"/>
    <w:rsid w:val="16635AB1"/>
    <w:rsid w:val="16A56688"/>
    <w:rsid w:val="16FC64CC"/>
    <w:rsid w:val="17855928"/>
    <w:rsid w:val="178564C1"/>
    <w:rsid w:val="17ED5B94"/>
    <w:rsid w:val="17F92CF0"/>
    <w:rsid w:val="181B501A"/>
    <w:rsid w:val="19125A87"/>
    <w:rsid w:val="19305C51"/>
    <w:rsid w:val="19813C3F"/>
    <w:rsid w:val="19C5656E"/>
    <w:rsid w:val="1A78612C"/>
    <w:rsid w:val="1B1EE041"/>
    <w:rsid w:val="1BFB057C"/>
    <w:rsid w:val="1C2D6E04"/>
    <w:rsid w:val="1CBD1F32"/>
    <w:rsid w:val="1CD001DE"/>
    <w:rsid w:val="1E7D162C"/>
    <w:rsid w:val="1F6A3A8D"/>
    <w:rsid w:val="1FFC8B35"/>
    <w:rsid w:val="200A1FE3"/>
    <w:rsid w:val="2015151B"/>
    <w:rsid w:val="20832DF2"/>
    <w:rsid w:val="21696064"/>
    <w:rsid w:val="226F199F"/>
    <w:rsid w:val="229032BB"/>
    <w:rsid w:val="22F81ACF"/>
    <w:rsid w:val="231B0D32"/>
    <w:rsid w:val="254554E2"/>
    <w:rsid w:val="256C3DC1"/>
    <w:rsid w:val="25EF3DCB"/>
    <w:rsid w:val="26005C42"/>
    <w:rsid w:val="26812549"/>
    <w:rsid w:val="26C3146C"/>
    <w:rsid w:val="272975CD"/>
    <w:rsid w:val="275B367B"/>
    <w:rsid w:val="277D5D97"/>
    <w:rsid w:val="282B6C11"/>
    <w:rsid w:val="28342885"/>
    <w:rsid w:val="29E27F3C"/>
    <w:rsid w:val="2BBA1F9C"/>
    <w:rsid w:val="2C0C6A9D"/>
    <w:rsid w:val="2D3E5731"/>
    <w:rsid w:val="2DA65F86"/>
    <w:rsid w:val="2F8B3EB0"/>
    <w:rsid w:val="301E2654"/>
    <w:rsid w:val="30226E54"/>
    <w:rsid w:val="30822B39"/>
    <w:rsid w:val="30E42336"/>
    <w:rsid w:val="30F81DDE"/>
    <w:rsid w:val="319B4FD0"/>
    <w:rsid w:val="31E2782A"/>
    <w:rsid w:val="31F07456"/>
    <w:rsid w:val="34B75E2D"/>
    <w:rsid w:val="353F6BC5"/>
    <w:rsid w:val="359F200E"/>
    <w:rsid w:val="35EF7152"/>
    <w:rsid w:val="36734E67"/>
    <w:rsid w:val="367A7548"/>
    <w:rsid w:val="370A5E1F"/>
    <w:rsid w:val="37A91900"/>
    <w:rsid w:val="37D86499"/>
    <w:rsid w:val="38BA0739"/>
    <w:rsid w:val="397A08A5"/>
    <w:rsid w:val="3AF40730"/>
    <w:rsid w:val="3B3C37B7"/>
    <w:rsid w:val="3B844130"/>
    <w:rsid w:val="3BE40322"/>
    <w:rsid w:val="3D88145B"/>
    <w:rsid w:val="3E2D328B"/>
    <w:rsid w:val="3EAB0813"/>
    <w:rsid w:val="3F7E818D"/>
    <w:rsid w:val="424D5A51"/>
    <w:rsid w:val="42504B90"/>
    <w:rsid w:val="42843399"/>
    <w:rsid w:val="43B126E2"/>
    <w:rsid w:val="45305DA3"/>
    <w:rsid w:val="45BF20C6"/>
    <w:rsid w:val="45E02B4E"/>
    <w:rsid w:val="460F3276"/>
    <w:rsid w:val="46472A10"/>
    <w:rsid w:val="497342EF"/>
    <w:rsid w:val="49F60938"/>
    <w:rsid w:val="4BD061D0"/>
    <w:rsid w:val="4BE95FB3"/>
    <w:rsid w:val="4D100B4F"/>
    <w:rsid w:val="4DC3409B"/>
    <w:rsid w:val="4E544B2E"/>
    <w:rsid w:val="4E546612"/>
    <w:rsid w:val="4F2E0A82"/>
    <w:rsid w:val="4F6BF4FC"/>
    <w:rsid w:val="4F964A80"/>
    <w:rsid w:val="4FDF6FA8"/>
    <w:rsid w:val="50937803"/>
    <w:rsid w:val="51633CE1"/>
    <w:rsid w:val="5263201F"/>
    <w:rsid w:val="52C378C2"/>
    <w:rsid w:val="53620E89"/>
    <w:rsid w:val="547D05BF"/>
    <w:rsid w:val="54D83FF4"/>
    <w:rsid w:val="5516263C"/>
    <w:rsid w:val="56D55D3C"/>
    <w:rsid w:val="59297C8A"/>
    <w:rsid w:val="592D3DE7"/>
    <w:rsid w:val="5A3D0D14"/>
    <w:rsid w:val="5AF20F7A"/>
    <w:rsid w:val="5BC86C25"/>
    <w:rsid w:val="5C017D92"/>
    <w:rsid w:val="5C1448B8"/>
    <w:rsid w:val="5D731E72"/>
    <w:rsid w:val="5D872DC4"/>
    <w:rsid w:val="5E7B47C0"/>
    <w:rsid w:val="5EFE05F4"/>
    <w:rsid w:val="5FBB278F"/>
    <w:rsid w:val="5FE7362F"/>
    <w:rsid w:val="600F6C40"/>
    <w:rsid w:val="610417D1"/>
    <w:rsid w:val="62471D3E"/>
    <w:rsid w:val="630263D7"/>
    <w:rsid w:val="635A5B72"/>
    <w:rsid w:val="63953FA2"/>
    <w:rsid w:val="63954399"/>
    <w:rsid w:val="64034EC5"/>
    <w:rsid w:val="641B7951"/>
    <w:rsid w:val="64306D81"/>
    <w:rsid w:val="6534087C"/>
    <w:rsid w:val="658C6239"/>
    <w:rsid w:val="6607061E"/>
    <w:rsid w:val="67738A47"/>
    <w:rsid w:val="67A640D2"/>
    <w:rsid w:val="68A56BE1"/>
    <w:rsid w:val="68DA1544"/>
    <w:rsid w:val="690E69A2"/>
    <w:rsid w:val="69437E41"/>
    <w:rsid w:val="697D6FC6"/>
    <w:rsid w:val="6A740403"/>
    <w:rsid w:val="6B052831"/>
    <w:rsid w:val="6BB474BD"/>
    <w:rsid w:val="6CCB047D"/>
    <w:rsid w:val="6CF21078"/>
    <w:rsid w:val="6D1D02B2"/>
    <w:rsid w:val="6D2E4BAB"/>
    <w:rsid w:val="6F60676D"/>
    <w:rsid w:val="6F9B2D6B"/>
    <w:rsid w:val="6FEE513A"/>
    <w:rsid w:val="6FFFEFF3"/>
    <w:rsid w:val="70137154"/>
    <w:rsid w:val="70BF93C3"/>
    <w:rsid w:val="70D71700"/>
    <w:rsid w:val="70EF6DAB"/>
    <w:rsid w:val="71494FDF"/>
    <w:rsid w:val="71E25DFB"/>
    <w:rsid w:val="7254593A"/>
    <w:rsid w:val="72FD4546"/>
    <w:rsid w:val="7450329B"/>
    <w:rsid w:val="745B26A4"/>
    <w:rsid w:val="74AA1EDD"/>
    <w:rsid w:val="754EF888"/>
    <w:rsid w:val="764A25DE"/>
    <w:rsid w:val="76592168"/>
    <w:rsid w:val="770164D0"/>
    <w:rsid w:val="772616E6"/>
    <w:rsid w:val="77EA6BD9"/>
    <w:rsid w:val="77FDA58C"/>
    <w:rsid w:val="78350E30"/>
    <w:rsid w:val="79211F6A"/>
    <w:rsid w:val="79A84E4F"/>
    <w:rsid w:val="7AC758F2"/>
    <w:rsid w:val="7ACD0A2E"/>
    <w:rsid w:val="7AD5B05D"/>
    <w:rsid w:val="7B5D8EE9"/>
    <w:rsid w:val="7BD81903"/>
    <w:rsid w:val="7C152881"/>
    <w:rsid w:val="7D0A7D18"/>
    <w:rsid w:val="7DD520D4"/>
    <w:rsid w:val="7DEF01F0"/>
    <w:rsid w:val="7E4B2893"/>
    <w:rsid w:val="7E7F2881"/>
    <w:rsid w:val="7EBD4ECF"/>
    <w:rsid w:val="7ED9319D"/>
    <w:rsid w:val="7EEF6BA4"/>
    <w:rsid w:val="7F320297"/>
    <w:rsid w:val="7F3EBD5D"/>
    <w:rsid w:val="7FFFBFA3"/>
    <w:rsid w:val="9E3D4CB6"/>
    <w:rsid w:val="9FFEF4FE"/>
    <w:rsid w:val="AE7E3572"/>
    <w:rsid w:val="AEFF5D38"/>
    <w:rsid w:val="B7FF8071"/>
    <w:rsid w:val="BE9D93D1"/>
    <w:rsid w:val="BF1FAE0D"/>
    <w:rsid w:val="BF4FF6F6"/>
    <w:rsid w:val="CF7F9C63"/>
    <w:rsid w:val="D97F5D76"/>
    <w:rsid w:val="DEFD6B24"/>
    <w:rsid w:val="DF7C8F48"/>
    <w:rsid w:val="EAFE2255"/>
    <w:rsid w:val="ECAE8611"/>
    <w:rsid w:val="EDE19521"/>
    <w:rsid w:val="F3EDE0B4"/>
    <w:rsid w:val="F5F7DF98"/>
    <w:rsid w:val="F6FE5E5B"/>
    <w:rsid w:val="F93F6F4C"/>
    <w:rsid w:val="FB3D3C7A"/>
    <w:rsid w:val="FBF0E871"/>
    <w:rsid w:val="FCE646F3"/>
    <w:rsid w:val="FD7B30A3"/>
    <w:rsid w:val="FDABA8D4"/>
    <w:rsid w:val="FDFFFB14"/>
    <w:rsid w:val="FEF39DFD"/>
    <w:rsid w:val="FF37B456"/>
    <w:rsid w:val="FF7E703C"/>
    <w:rsid w:val="FF8F17B3"/>
    <w:rsid w:val="FFB78FEA"/>
    <w:rsid w:val="FFFD3F6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1"/>
    <w:pPr>
      <w:ind w:left="1469"/>
      <w:outlineLvl w:val="0"/>
    </w:pPr>
    <w:rPr>
      <w:rFonts w:ascii="宋体" w:hAnsi="宋体" w:eastAsia="宋体" w:cs="宋体"/>
      <w:sz w:val="31"/>
      <w:szCs w:val="31"/>
    </w:rPr>
  </w:style>
  <w:style w:type="paragraph" w:styleId="3">
    <w:name w:val="heading 2"/>
    <w:basedOn w:val="1"/>
    <w:next w:val="1"/>
    <w:qFormat/>
    <w:uiPriority w:val="1"/>
    <w:pPr>
      <w:ind w:left="498" w:right="2863"/>
      <w:outlineLvl w:val="1"/>
    </w:pPr>
    <w:rPr>
      <w:rFonts w:ascii="宋体" w:hAnsi="宋体" w:eastAsia="宋体" w:cs="宋体"/>
      <w:sz w:val="29"/>
      <w:szCs w:val="29"/>
    </w:rPr>
  </w:style>
  <w:style w:type="paragraph" w:styleId="4">
    <w:name w:val="heading 3"/>
    <w:basedOn w:val="1"/>
    <w:next w:val="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16">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Salutation"/>
    <w:basedOn w:val="1"/>
    <w:next w:val="1"/>
    <w:qFormat/>
    <w:uiPriority w:val="0"/>
    <w:rPr>
      <w:rFonts w:ascii="Times New Roman" w:hAnsi="Times New Roman" w:eastAsia="宋体" w:cs="Times New Roman"/>
    </w:rPr>
  </w:style>
  <w:style w:type="paragraph" w:styleId="7">
    <w:name w:val="Body Text"/>
    <w:basedOn w:val="1"/>
    <w:qFormat/>
    <w:uiPriority w:val="1"/>
    <w:rPr>
      <w:rFonts w:ascii="宋体" w:hAnsi="宋体" w:eastAsia="宋体" w:cs="宋体"/>
      <w:sz w:val="23"/>
      <w:szCs w:val="23"/>
    </w:rPr>
  </w:style>
  <w:style w:type="paragraph" w:styleId="8">
    <w:name w:val="Body Text Indent"/>
    <w:basedOn w:val="1"/>
    <w:qFormat/>
    <w:uiPriority w:val="0"/>
    <w:pPr>
      <w:spacing w:after="120"/>
      <w:ind w:left="420" w:leftChars="200"/>
    </w:pPr>
  </w:style>
  <w:style w:type="paragraph" w:styleId="9">
    <w:name w:val="footer"/>
    <w:basedOn w:val="1"/>
    <w:unhideWhenUsed/>
    <w:qFormat/>
    <w:uiPriority w:val="0"/>
    <w:pPr>
      <w:tabs>
        <w:tab w:val="center" w:pos="4153"/>
        <w:tab w:val="right" w:pos="8306"/>
      </w:tabs>
      <w:snapToGrid w:val="0"/>
      <w:jc w:val="left"/>
    </w:pPr>
    <w:rPr>
      <w:sz w:val="18"/>
    </w:rPr>
  </w:style>
  <w:style w:type="paragraph" w:styleId="10">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0"/>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2"/>
    <w:basedOn w:val="8"/>
    <w:qFormat/>
    <w:uiPriority w:val="0"/>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basedOn w:val="1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3378</Words>
  <Characters>3479</Characters>
  <Lines>1</Lines>
  <Paragraphs>1</Paragraphs>
  <TotalTime>10</TotalTime>
  <ScaleCrop>false</ScaleCrop>
  <LinksUpToDate>false</LinksUpToDate>
  <CharactersWithSpaces>3541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2014-11-03T12:08:00Z</dcterms:created>
  <dc:creator>Administrator</dc:creator>
  <cp:lastModifiedBy>何现富</cp:lastModifiedBy>
  <dcterms:modified xsi:type="dcterms:W3CDTF">2026-08-20T09:41:30Z</dcterms:modified>
  <dc:title>三亚市文物保护单位安防建设设计方案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5933635B956B40CBA94C403FA56CCBBE_12</vt:lpwstr>
  </property>
  <property fmtid="{D5CDD505-2E9C-101B-9397-08002B2CF9AE}" pid="4" name="KSOTemplateDocerSaveRecord">
    <vt:lpwstr>eyJoZGlkIjoiMjkxMTRlOThjNjQ5YjA2ODgxZjNiMjhiYmQxNjVkMTgiLCJ1c2VySWQiOiIxMDMyNjM0Njk5In0=</vt:lpwstr>
  </property>
</Properties>
</file>