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三亚市市级文物保护单位及尚未核定为文物保护单位的不可移动文物卫星遥感监测项目</w:t>
      </w:r>
    </w:p>
    <w:p>
      <w:pPr>
        <w:keepNext w:val="0"/>
        <w:keepLines w:val="0"/>
        <w:pageBreakBefore w:val="0"/>
        <w:kinsoku/>
        <w:wordWrap/>
        <w:overflowPunct/>
        <w:topLinePunct w:val="0"/>
        <w:autoSpaceDE/>
        <w:autoSpaceDN/>
        <w:bidi w:val="0"/>
        <w:adjustRightInd/>
        <w:snapToGrid/>
        <w:spacing w:line="578" w:lineRule="exact"/>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sz w:val="44"/>
          <w:szCs w:val="44"/>
          <w:lang w:bidi="ar"/>
        </w:rPr>
        <w:t>采购需求方案</w:t>
      </w:r>
    </w:p>
    <w:p>
      <w:pPr>
        <w:keepNext w:val="0"/>
        <w:keepLines w:val="0"/>
        <w:pageBreakBefore w:val="0"/>
        <w:kinsoku/>
        <w:wordWrap/>
        <w:overflowPunct/>
        <w:topLinePunct w:val="0"/>
        <w:autoSpaceDE/>
        <w:autoSpaceDN/>
        <w:bidi w:val="0"/>
        <w:adjustRightInd/>
        <w:snapToGrid/>
        <w:spacing w:line="579" w:lineRule="exact"/>
        <w:ind w:firstLine="640" w:firstLineChars="200"/>
        <w:jc w:val="center"/>
        <w:rPr>
          <w:rFonts w:hint="default" w:ascii="Times New Roman" w:hAnsi="Times New Roman" w:eastAsia="仿宋_GB2312" w:cs="Times New Roman"/>
          <w:b w:val="0"/>
          <w:bCs w:val="0"/>
          <w:sz w:val="32"/>
          <w:szCs w:val="32"/>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lang w:eastAsia="zh-CN"/>
        </w:rPr>
        <w:t>为加快省旅文厅关于卫星遥感监测全覆盖工作部署，提高文物保护工作的主动性、精准性和连续性，拟开展三亚市市级文物保护单位及尚未核定为文物保护单位的不可移动文物卫星遥感监测工作，</w:t>
      </w:r>
      <w:r>
        <w:rPr>
          <w:rFonts w:hint="default" w:ascii="Times New Roman" w:hAnsi="Times New Roman" w:eastAsia="仿宋_GB2312" w:cs="Times New Roman"/>
          <w:b w:val="0"/>
          <w:bCs w:val="0"/>
          <w:sz w:val="32"/>
          <w:szCs w:val="32"/>
        </w:rPr>
        <w:t>现制定方案如下：</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color w:val="464646"/>
          <w:sz w:val="32"/>
          <w:szCs w:val="32"/>
        </w:rPr>
        <w:t>一</w:t>
      </w:r>
      <w:r>
        <w:rPr>
          <w:rFonts w:hint="default" w:ascii="Times New Roman" w:hAnsi="Times New Roman" w:eastAsia="黑体" w:cs="Times New Roman"/>
          <w:b w:val="0"/>
          <w:bCs w:val="0"/>
          <w:color w:val="262626"/>
          <w:sz w:val="32"/>
          <w:szCs w:val="32"/>
        </w:rPr>
        <w:t>、项目名称</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三亚市市级文物保护单位及尚未核定为文物保护单位的不可移动文物卫星遥感监测项目</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黑体" w:cs="Times New Roman"/>
          <w:b w:val="0"/>
          <w:bCs w:val="0"/>
          <w:color w:val="262626"/>
          <w:sz w:val="32"/>
          <w:szCs w:val="32"/>
        </w:rPr>
      </w:pPr>
      <w:r>
        <w:rPr>
          <w:rFonts w:hint="default" w:ascii="Times New Roman" w:hAnsi="Times New Roman" w:eastAsia="黑体" w:cs="Times New Roman"/>
          <w:b w:val="0"/>
          <w:bCs w:val="0"/>
          <w:color w:val="262626"/>
          <w:sz w:val="32"/>
          <w:szCs w:val="32"/>
        </w:rPr>
        <w:t>二、采购人及采购预算金额</w:t>
      </w:r>
    </w:p>
    <w:p>
      <w:pPr>
        <w:pStyle w:val="4"/>
        <w:keepNext w:val="0"/>
        <w:keepLines w:val="0"/>
        <w:pageBreakBefore w:val="0"/>
        <w:kinsoku/>
        <w:wordWrap/>
        <w:overflowPunct/>
        <w:topLinePunct w:val="0"/>
        <w:autoSpaceDE/>
        <w:autoSpaceDN/>
        <w:bidi w:val="0"/>
        <w:adjustRightInd/>
        <w:snapToGrid/>
        <w:spacing w:line="579" w:lineRule="exact"/>
        <w:ind w:left="0" w:right="0" w:firstLine="640" w:firstLineChars="200"/>
        <w:rPr>
          <w:rFonts w:hint="default" w:ascii="Times New Roman" w:hAnsi="Times New Roman" w:eastAsia="仿宋_GB2312" w:cs="Times New Roman"/>
          <w:b w:val="0"/>
          <w:bCs w:val="0"/>
          <w:color w:val="000000"/>
          <w:sz w:val="32"/>
          <w:szCs w:val="32"/>
          <w:lang w:val="en"/>
        </w:rPr>
      </w:pPr>
      <w:r>
        <w:rPr>
          <w:rFonts w:hint="default" w:ascii="Times New Roman" w:hAnsi="Times New Roman" w:eastAsia="仿宋_GB2312" w:cs="Times New Roman"/>
          <w:b w:val="0"/>
          <w:bCs w:val="0"/>
          <w:color w:val="000000"/>
          <w:sz w:val="32"/>
          <w:szCs w:val="32"/>
          <w:lang w:val="en"/>
        </w:rPr>
        <w:t>采购人：三亚市旅游和文化广电体育局</w:t>
      </w:r>
    </w:p>
    <w:p>
      <w:pPr>
        <w:pStyle w:val="4"/>
        <w:keepNext w:val="0"/>
        <w:keepLines w:val="0"/>
        <w:pageBreakBefore w:val="0"/>
        <w:kinsoku/>
        <w:wordWrap/>
        <w:overflowPunct/>
        <w:topLinePunct w:val="0"/>
        <w:autoSpaceDE/>
        <w:autoSpaceDN/>
        <w:bidi w:val="0"/>
        <w:adjustRightInd/>
        <w:snapToGrid/>
        <w:spacing w:line="579" w:lineRule="exact"/>
        <w:ind w:left="0" w:right="0" w:firstLine="640" w:firstLineChars="200"/>
        <w:rPr>
          <w:rFonts w:hint="default" w:ascii="Times New Roman" w:hAnsi="Times New Roman" w:eastAsia="仿宋_GB2312" w:cs="Times New Roman"/>
          <w:b w:val="0"/>
          <w:bCs w:val="0"/>
          <w:color w:val="000000"/>
          <w:sz w:val="32"/>
          <w:szCs w:val="32"/>
          <w:lang w:val="en"/>
        </w:rPr>
      </w:pPr>
      <w:r>
        <w:rPr>
          <w:rFonts w:hint="default" w:ascii="Times New Roman" w:hAnsi="Times New Roman" w:eastAsia="仿宋_GB2312" w:cs="Times New Roman"/>
          <w:b w:val="0"/>
          <w:bCs w:val="0"/>
          <w:color w:val="000000"/>
          <w:sz w:val="32"/>
          <w:szCs w:val="32"/>
          <w:lang w:val="en"/>
        </w:rPr>
        <w:t>采购预算金额：¥</w:t>
      </w:r>
      <w:r>
        <w:rPr>
          <w:rFonts w:hint="default" w:ascii="Times New Roman" w:hAnsi="Times New Roman" w:eastAsia="仿宋_GB2312" w:cs="Times New Roman"/>
          <w:b w:val="0"/>
          <w:bCs w:val="0"/>
          <w:color w:val="000000"/>
          <w:sz w:val="32"/>
          <w:szCs w:val="32"/>
          <w:u w:val="single"/>
          <w:lang w:val="en"/>
        </w:rPr>
        <w:t xml:space="preserve"> </w:t>
      </w:r>
      <w:r>
        <w:rPr>
          <w:rFonts w:hint="default" w:ascii="Times New Roman" w:hAnsi="Times New Roman" w:eastAsia="仿宋_GB2312" w:cs="Times New Roman"/>
          <w:b w:val="0"/>
          <w:bCs w:val="0"/>
          <w:color w:val="000000"/>
          <w:sz w:val="32"/>
          <w:szCs w:val="32"/>
          <w:u w:val="single"/>
          <w:lang w:val="en-US" w:eastAsia="zh-CN"/>
        </w:rPr>
        <w:t>180000</w:t>
      </w:r>
      <w:r>
        <w:rPr>
          <w:rFonts w:hint="default" w:ascii="Times New Roman" w:hAnsi="Times New Roman" w:eastAsia="仿宋_GB2312" w:cs="Times New Roman"/>
          <w:b w:val="0"/>
          <w:bCs w:val="0"/>
          <w:color w:val="000000"/>
          <w:sz w:val="32"/>
          <w:szCs w:val="32"/>
          <w:lang w:val="en"/>
        </w:rPr>
        <w:t>元， 最高限价为：¥</w:t>
      </w:r>
      <w:r>
        <w:rPr>
          <w:rFonts w:hint="default" w:ascii="Times New Roman" w:hAnsi="Times New Roman" w:eastAsia="仿宋_GB2312" w:cs="Times New Roman"/>
          <w:b w:val="0"/>
          <w:bCs w:val="0"/>
          <w:color w:val="000000"/>
          <w:sz w:val="32"/>
          <w:szCs w:val="32"/>
          <w:u w:val="single"/>
          <w:lang w:val="en-US" w:eastAsia="zh-CN"/>
        </w:rPr>
        <w:t>180000</w:t>
      </w:r>
      <w:r>
        <w:rPr>
          <w:rFonts w:hint="default" w:ascii="Times New Roman" w:hAnsi="Times New Roman" w:eastAsia="仿宋_GB2312" w:cs="Times New Roman"/>
          <w:b w:val="0"/>
          <w:bCs w:val="0"/>
          <w:color w:val="000000"/>
          <w:sz w:val="32"/>
          <w:szCs w:val="32"/>
          <w:lang w:val="en"/>
        </w:rPr>
        <w:t>元。超出预算金额（最高限价）的报价，按无效报价处理。</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黑体" w:cs="Times New Roman"/>
          <w:b w:val="0"/>
          <w:bCs w:val="0"/>
          <w:color w:val="464646"/>
          <w:sz w:val="32"/>
          <w:szCs w:val="32"/>
        </w:rPr>
      </w:pPr>
      <w:r>
        <w:rPr>
          <w:rFonts w:hint="default" w:ascii="Times New Roman" w:hAnsi="Times New Roman" w:eastAsia="黑体" w:cs="Times New Roman"/>
          <w:b w:val="0"/>
          <w:bCs w:val="0"/>
          <w:color w:val="464646"/>
          <w:sz w:val="32"/>
          <w:szCs w:val="32"/>
        </w:rPr>
        <w:t>三、采购方式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textAlignment w:val="baseline"/>
        <w:rPr>
          <w:rFonts w:hint="default" w:ascii="Times New Roman" w:hAnsi="Times New Roman" w:eastAsia="仿宋_GB2312" w:cs="Times New Roman"/>
          <w:b w:val="0"/>
          <w:bCs w:val="0"/>
          <w:color w:val="000000"/>
          <w:kern w:val="2"/>
          <w:sz w:val="32"/>
          <w:szCs w:val="32"/>
          <w:lang w:val="en" w:eastAsia="zh-CN" w:bidi="ar-SA"/>
        </w:rPr>
      </w:pPr>
      <w:r>
        <w:rPr>
          <w:rFonts w:hint="default" w:ascii="Times New Roman" w:hAnsi="Times New Roman" w:eastAsia="仿宋_GB2312" w:cs="Times New Roman"/>
          <w:b w:val="0"/>
          <w:bCs w:val="0"/>
          <w:color w:val="000000"/>
          <w:sz w:val="32"/>
          <w:szCs w:val="32"/>
          <w:lang w:val="en"/>
        </w:rPr>
        <w:t>采购方式：</w:t>
      </w:r>
      <w:r>
        <w:rPr>
          <w:rFonts w:hint="default" w:ascii="Times New Roman" w:hAnsi="Times New Roman" w:eastAsia="仿宋_GB2312" w:cs="Times New Roman"/>
          <w:b w:val="0"/>
          <w:bCs w:val="0"/>
          <w:color w:val="000000"/>
          <w:kern w:val="2"/>
          <w:sz w:val="32"/>
          <w:szCs w:val="32"/>
          <w:lang w:val="en" w:eastAsia="zh-CN" w:bidi="ar-SA"/>
        </w:rPr>
        <w:t>竞争性磋商</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黑体" w:cs="Times New Roman"/>
          <w:b w:val="0"/>
          <w:bCs w:val="0"/>
          <w:color w:val="464646"/>
          <w:sz w:val="32"/>
          <w:szCs w:val="32"/>
        </w:rPr>
      </w:pPr>
      <w:r>
        <w:rPr>
          <w:rFonts w:hint="default" w:ascii="Times New Roman" w:hAnsi="Times New Roman" w:eastAsia="黑体" w:cs="Times New Roman"/>
          <w:b w:val="0"/>
          <w:bCs w:val="0"/>
          <w:color w:val="464646"/>
          <w:sz w:val="32"/>
          <w:szCs w:val="32"/>
        </w:rPr>
        <w:t>四、项目实施地点</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lang w:val="en"/>
        </w:rPr>
      </w:pPr>
      <w:r>
        <w:rPr>
          <w:rFonts w:hint="default" w:ascii="Times New Roman" w:hAnsi="Times New Roman" w:eastAsia="仿宋_GB2312" w:cs="Times New Roman"/>
          <w:b w:val="0"/>
          <w:bCs w:val="0"/>
          <w:color w:val="000000"/>
          <w:sz w:val="32"/>
          <w:szCs w:val="32"/>
          <w:lang w:val="en"/>
        </w:rPr>
        <w:t>三亚市</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黑体" w:cs="Times New Roman"/>
          <w:b w:val="0"/>
          <w:bCs w:val="0"/>
          <w:color w:val="464646"/>
          <w:sz w:val="32"/>
          <w:szCs w:val="32"/>
          <w:lang w:eastAsia="zh-CN"/>
        </w:rPr>
      </w:pPr>
      <w:r>
        <w:rPr>
          <w:rFonts w:hint="default" w:ascii="Times New Roman" w:hAnsi="Times New Roman" w:eastAsia="黑体" w:cs="Times New Roman"/>
          <w:b w:val="0"/>
          <w:bCs w:val="0"/>
          <w:color w:val="464646"/>
          <w:sz w:val="32"/>
          <w:szCs w:val="32"/>
        </w:rPr>
        <w:t>五、</w:t>
      </w:r>
      <w:r>
        <w:rPr>
          <w:rFonts w:hint="default" w:ascii="Times New Roman" w:hAnsi="Times New Roman" w:eastAsia="黑体" w:cs="Times New Roman"/>
          <w:b w:val="0"/>
          <w:bCs w:val="0"/>
          <w:color w:val="464646"/>
          <w:sz w:val="32"/>
          <w:szCs w:val="32"/>
          <w:lang w:val="en-US" w:eastAsia="zh-CN"/>
        </w:rPr>
        <w:t>竞争性磋商</w:t>
      </w:r>
      <w:r>
        <w:rPr>
          <w:rFonts w:hint="default" w:ascii="Times New Roman" w:hAnsi="Times New Roman" w:eastAsia="黑体" w:cs="Times New Roman"/>
          <w:b w:val="0"/>
          <w:bCs w:val="0"/>
          <w:color w:val="464646"/>
          <w:sz w:val="32"/>
          <w:szCs w:val="32"/>
        </w:rPr>
        <w:t>日程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报名日期：</w:t>
      </w:r>
      <w:r>
        <w:rPr>
          <w:rFonts w:hint="eastAsia" w:ascii="Times New Roman" w:hAnsi="Times New Roman" w:eastAsia="仿宋_GB2312" w:cs="Times New Roman"/>
          <w:b w:val="0"/>
          <w:bCs w:val="0"/>
          <w:kern w:val="2"/>
          <w:sz w:val="32"/>
          <w:szCs w:val="32"/>
          <w:lang w:val="en-US" w:eastAsia="zh-CN" w:bidi="ar-SA"/>
        </w:rPr>
        <w:t>7月16日-21日</w:t>
      </w:r>
      <w:r>
        <w:rPr>
          <w:rFonts w:hint="default" w:ascii="Times New Roman" w:hAnsi="Times New Roman" w:eastAsia="仿宋_GB2312" w:cs="Times New Roman"/>
          <w:b w:val="0"/>
          <w:bCs w:val="0"/>
          <w:kern w:val="2"/>
          <w:sz w:val="32"/>
          <w:szCs w:val="32"/>
          <w:lang w:val="en-US" w:eastAsia="zh-CN" w:bidi="ar-SA"/>
        </w:rPr>
        <w:t>每天8:00至18:00</w:t>
      </w:r>
      <w:r>
        <w:rPr>
          <w:rFonts w:hint="eastAsia" w:ascii="Times New Roman" w:hAnsi="Times New Roman" w:eastAsia="仿宋_GB2312" w:cs="Times New Roman"/>
          <w:b w:val="0"/>
          <w:bCs w:val="0"/>
          <w:kern w:val="2"/>
          <w:sz w:val="32"/>
          <w:szCs w:val="32"/>
          <w:lang w:val="en-US" w:eastAsia="zh-CN" w:bidi="ar-SA"/>
        </w:rPr>
        <w:t>，7月22日</w:t>
      </w:r>
      <w:r>
        <w:rPr>
          <w:rFonts w:hint="default" w:ascii="Times New Roman" w:hAnsi="Times New Roman" w:eastAsia="仿宋_GB2312" w:cs="Times New Roman"/>
          <w:b w:val="0"/>
          <w:bCs w:val="0"/>
          <w:kern w:val="2"/>
          <w:sz w:val="32"/>
          <w:szCs w:val="32"/>
          <w:lang w:val="en-US" w:eastAsia="zh-CN" w:bidi="ar-SA"/>
        </w:rPr>
        <w:t>8:00至12:00。</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竞争性磋商日期：</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6年7</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23日（具体时间以磋商邀请函通知为准）</w:t>
      </w:r>
      <w:r>
        <w:rPr>
          <w:rFonts w:hint="default" w:ascii="Times New Roman" w:hAnsi="Times New Roman" w:eastAsia="仿宋_GB2312" w:cs="Times New Roman"/>
          <w:b w:val="0"/>
          <w:bCs w:val="0"/>
          <w:sz w:val="32"/>
          <w:szCs w:val="32"/>
        </w:rPr>
        <w:t>提交</w:t>
      </w:r>
      <w:r>
        <w:rPr>
          <w:rFonts w:hint="default" w:ascii="Times New Roman" w:hAnsi="Times New Roman" w:eastAsia="仿宋_GB2312" w:cs="Times New Roman"/>
          <w:b w:val="0"/>
          <w:bCs w:val="0"/>
          <w:sz w:val="32"/>
          <w:szCs w:val="32"/>
          <w:lang w:val="en-US" w:eastAsia="zh-CN"/>
        </w:rPr>
        <w:t>磋商</w:t>
      </w:r>
      <w:r>
        <w:rPr>
          <w:rFonts w:hint="default" w:ascii="Times New Roman" w:hAnsi="Times New Roman" w:eastAsia="仿宋_GB2312" w:cs="Times New Roman"/>
          <w:b w:val="0"/>
          <w:bCs w:val="0"/>
          <w:sz w:val="32"/>
          <w:szCs w:val="32"/>
        </w:rPr>
        <w:t>文件，现场评审，公布</w:t>
      </w:r>
      <w:r>
        <w:rPr>
          <w:rFonts w:hint="default" w:ascii="Times New Roman" w:hAnsi="Times New Roman" w:eastAsia="仿宋_GB2312" w:cs="Times New Roman"/>
          <w:b w:val="0"/>
          <w:bCs w:val="0"/>
          <w:sz w:val="32"/>
          <w:szCs w:val="32"/>
          <w:lang w:val="en-US" w:eastAsia="zh-CN"/>
        </w:rPr>
        <w:t>磋商</w:t>
      </w:r>
      <w:r>
        <w:rPr>
          <w:rFonts w:hint="default" w:ascii="Times New Roman" w:hAnsi="Times New Roman" w:eastAsia="仿宋_GB2312" w:cs="Times New Roman"/>
          <w:b w:val="0"/>
          <w:bCs w:val="0"/>
          <w:sz w:val="32"/>
          <w:szCs w:val="32"/>
        </w:rPr>
        <w:t>结果</w:t>
      </w:r>
      <w:r>
        <w:rPr>
          <w:rFonts w:hint="default" w:ascii="Times New Roman" w:hAnsi="Times New Roman" w:eastAsia="仿宋_GB2312" w:cs="Times New Roman"/>
          <w:b w:val="0"/>
          <w:bCs w:val="0"/>
          <w:sz w:val="32"/>
          <w:szCs w:val="32"/>
          <w:lang w:eastAsia="zh-CN"/>
        </w:rPr>
        <w:t>。</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黑体" w:cs="Times New Roman"/>
          <w:b w:val="0"/>
          <w:bCs w:val="0"/>
          <w:color w:val="464646"/>
          <w:sz w:val="32"/>
          <w:szCs w:val="32"/>
        </w:rPr>
      </w:pPr>
      <w:r>
        <w:rPr>
          <w:rFonts w:hint="default" w:ascii="Times New Roman" w:hAnsi="Times New Roman" w:eastAsia="黑体" w:cs="Times New Roman"/>
          <w:b w:val="0"/>
          <w:bCs w:val="0"/>
          <w:color w:val="464646"/>
          <w:sz w:val="32"/>
          <w:szCs w:val="32"/>
        </w:rPr>
        <w:t>六、供应商资格要求</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1.具有文物保护工程（勘察设计）乙级及以上资质，符合《政府采购法》第二十二条第一款规定的条件；</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2.在“信用中国”、“中国政府采购”网站没有列入失信被执行人、重大税收违法失信主体、政府采购严重违法失信行为记录名单的投标人（需提供发布采购文件后至响应文件递交</w:t>
      </w:r>
      <w:r>
        <w:rPr>
          <w:rFonts w:hint="default" w:ascii="Times New Roman" w:hAnsi="Times New Roman" w:eastAsia="仿宋_GB2312" w:cs="Times New Roman"/>
          <w:b w:val="0"/>
          <w:bCs w:val="0"/>
          <w:color w:val="000000"/>
          <w:sz w:val="32"/>
          <w:szCs w:val="32"/>
          <w:lang w:eastAsia="zh-CN"/>
        </w:rPr>
        <w:t>截止时间</w:t>
      </w:r>
      <w:r>
        <w:rPr>
          <w:rFonts w:hint="default" w:ascii="Times New Roman" w:hAnsi="Times New Roman" w:eastAsia="仿宋_GB2312" w:cs="Times New Roman"/>
          <w:b w:val="0"/>
          <w:bCs w:val="0"/>
          <w:color w:val="000000"/>
          <w:sz w:val="32"/>
          <w:szCs w:val="32"/>
        </w:rPr>
        <w:t>前的信用查询结果网页截图、信用报告并加盖单位公章）。</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3.其它要求</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（1）在中华人民共和国境内注册、具有独立承担民事责任的能力（提供营业执照或事业单位法人证书）</w:t>
      </w:r>
      <w:r>
        <w:rPr>
          <w:rFonts w:hint="default" w:ascii="Times New Roman" w:hAnsi="Times New Roman" w:eastAsia="仿宋_GB2312" w:cs="Times New Roman"/>
          <w:b w:val="0"/>
          <w:bCs w:val="0"/>
          <w:color w:val="000000"/>
          <w:sz w:val="32"/>
          <w:szCs w:val="32"/>
          <w:lang w:val="en-US" w:eastAsia="zh-CN"/>
        </w:rPr>
        <w:t>。</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）参加政府采购活动前三年内，在经营活动中没有重大违法记录（成立不足三年的从成立之日起计算）；</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）单位负责人或法定代表人或公司实际控制人为同一人或者存在直接控股、管理关系的不同供应商，或者构成关联企业的不同供应商，不得参加同一合同项下的采购活动。</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4.本项目不接受联合体投标。</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5.投标时必须提交以上相关证明材料。</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6.如出现下列情况之一，本次采购终止：</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（1）递交报价文件后符合资格条件的报价人（不含无效报价）不足三家的；</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（2）出现影响采购工作的违法、违规行为；</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（3）因出现重大变故，需调整或取消采购任务的。</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黑体" w:cs="Times New Roman"/>
          <w:b w:val="0"/>
          <w:bCs w:val="0"/>
          <w:color w:val="464646"/>
          <w:sz w:val="32"/>
          <w:szCs w:val="32"/>
          <w:lang w:eastAsia="zh-CN"/>
        </w:rPr>
      </w:pPr>
      <w:r>
        <w:rPr>
          <w:rFonts w:hint="default" w:ascii="Times New Roman" w:hAnsi="Times New Roman" w:eastAsia="黑体" w:cs="Times New Roman"/>
          <w:b w:val="0"/>
          <w:bCs w:val="0"/>
          <w:color w:val="464646"/>
          <w:sz w:val="32"/>
          <w:szCs w:val="32"/>
        </w:rPr>
        <w:t>七、采购需求</w:t>
      </w:r>
    </w:p>
    <w:p>
      <w:pPr>
        <w:numPr>
          <w:ilvl w:val="0"/>
          <w:numId w:val="0"/>
        </w:numPr>
        <w:ind w:leftChars="0"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19"/>
          <w:lang w:val="en-US" w:eastAsia="zh-CN" w:bidi="ar"/>
        </w:rPr>
        <w:t>本项目以三亚全域登记在册293处不可移动文物（市级文保单位16处、未定级文物约277处）为监测对象，覆盖文物本体、保护范围、建设控制地带及周边敏感区域，全年分季度开展常态化卫星遥感监测，配套数据建库、智能识别、风险研判、成果归档全流程工作，具体需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firstLineChars="200"/>
        <w:rPr>
          <w:rFonts w:hint="default" w:ascii="Times New Roman" w:hAnsi="Times New Roman" w:eastAsia="楷体_GB2312" w:cs="Times New Roman"/>
          <w:b w:val="0"/>
          <w:bCs w:val="0"/>
          <w:color w:val="000000"/>
          <w:sz w:val="32"/>
          <w:szCs w:val="19"/>
        </w:rPr>
      </w:pPr>
      <w:r>
        <w:rPr>
          <w:rFonts w:hint="default" w:ascii="Times New Roman" w:hAnsi="Times New Roman" w:eastAsia="楷体_GB2312" w:cs="Times New Roman"/>
          <w:b w:val="0"/>
          <w:bCs w:val="0"/>
          <w:color w:val="000000"/>
          <w:sz w:val="32"/>
          <w:szCs w:val="19"/>
        </w:rPr>
        <w:t>（一）基础数据标准化建库工作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文物台账整理：梳理全市各级文保单位、未定级不可移动文物名录，完善文物名称、等级、类型、坐标、属地、管理责任单位等基础信息，依据第四次全国文物普查成果动态更新对象目录。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空间边界数字化：对缺失精确坐标、保护范围、建设控制地带的文物点位开展坐标校核、边界矢量化处理，形成统一空间工作底图，崖州区文物密集片区重点完善历史街巷、古村落管控边界。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多源数据归集整合：统一汇集行政区划、基础地理矢量、历史巡查记录、历年卫星影像、建设项目审批资料，搭建文物遥感监测专用空间数据库，实现文物点位、管控边界、影像、问题记录关联绑定。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firstLineChars="200"/>
        <w:rPr>
          <w:rFonts w:hint="default" w:ascii="Times New Roman" w:hAnsi="Times New Roman" w:eastAsia="楷体_GB2312" w:cs="Times New Roman"/>
          <w:b w:val="0"/>
          <w:bCs w:val="0"/>
          <w:color w:val="000000"/>
          <w:sz w:val="32"/>
          <w:szCs w:val="19"/>
        </w:rPr>
      </w:pPr>
      <w:r>
        <w:rPr>
          <w:rFonts w:hint="default" w:ascii="Times New Roman" w:hAnsi="Times New Roman" w:eastAsia="楷体_GB2312" w:cs="Times New Roman"/>
          <w:b w:val="0"/>
          <w:bCs w:val="0"/>
          <w:color w:val="000000"/>
          <w:sz w:val="32"/>
          <w:szCs w:val="19"/>
        </w:rPr>
        <w:t>（二）卫星遥感影像获取与标准化处理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影像采购：全域采用优于2米级高分辨率光学卫星影像，执行 “全域基础覆盖 + 重点区域精细监测” 模式，全年含初始基准影像1期、季度监测影像4期。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影像预处理：完成影像筛选、去云、正射纠正、几何配准、影像融合、分幅裁切、坐标统一，保证多期影像可精准叠加对比，消除地形、拍摄角度造成的识别误差。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firstLineChars="200"/>
        <w:rPr>
          <w:rFonts w:hint="default" w:ascii="Times New Roman" w:hAnsi="Times New Roman" w:eastAsia="楷体_GB2312" w:cs="Times New Roman"/>
          <w:b w:val="0"/>
          <w:bCs w:val="0"/>
          <w:color w:val="000000"/>
          <w:sz w:val="32"/>
          <w:szCs w:val="19"/>
        </w:rPr>
      </w:pPr>
      <w:r>
        <w:rPr>
          <w:rFonts w:hint="default" w:ascii="Times New Roman" w:hAnsi="Times New Roman" w:eastAsia="楷体_GB2312" w:cs="Times New Roman"/>
          <w:b w:val="0"/>
          <w:bCs w:val="0"/>
          <w:color w:val="000000"/>
          <w:sz w:val="32"/>
          <w:szCs w:val="19"/>
        </w:rPr>
        <w:t>（三）疑似变化智能识别与风险分级研判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多期影像对比筛查：依托AI变化检测算法自动提取地表异常图斑，人工专业复核剔除植被季节变化、气象干扰等误判图斑，重点识别新增建筑、场地开挖、道路硬化、裸土扰动、植被损毁、岸线改变六大类风险变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风险分级分类：结合文物价值、变化位置（本体 / 保护范围 / 建设控制地带）、扰动规模划分高、中、低三级风险，高风险（本体、保护范围内施工开挖、占压）优先推送核查，低风险变化持续跟踪观测。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分区域专项研判：针对崖州区古村落、吉阳/海棠旅游片区、天涯海岸墓葬石刻区开展分区风险分析，梳理村镇扩建、旅游配套开发、山体边坡扰动等区域性突出风险。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firstLineChars="200"/>
        <w:rPr>
          <w:rFonts w:hint="default" w:ascii="Times New Roman" w:hAnsi="Times New Roman" w:eastAsia="楷体_GB2312" w:cs="Times New Roman"/>
          <w:b w:val="0"/>
          <w:bCs w:val="0"/>
          <w:color w:val="000000"/>
          <w:sz w:val="32"/>
          <w:szCs w:val="19"/>
        </w:rPr>
      </w:pPr>
      <w:r>
        <w:rPr>
          <w:rFonts w:hint="default" w:ascii="Times New Roman" w:hAnsi="Times New Roman" w:eastAsia="楷体_GB2312" w:cs="Times New Roman"/>
          <w:b w:val="0"/>
          <w:bCs w:val="0"/>
          <w:color w:val="000000"/>
          <w:sz w:val="32"/>
          <w:szCs w:val="19"/>
        </w:rPr>
        <w:t>（</w:t>
      </w:r>
      <w:r>
        <w:rPr>
          <w:rFonts w:hint="default" w:ascii="Times New Roman" w:hAnsi="Times New Roman" w:eastAsia="楷体_GB2312" w:cs="Times New Roman"/>
          <w:b w:val="0"/>
          <w:bCs w:val="0"/>
          <w:color w:val="000000"/>
          <w:sz w:val="32"/>
          <w:szCs w:val="19"/>
          <w:lang w:val="en-US" w:eastAsia="zh-CN"/>
        </w:rPr>
        <w:t>四</w:t>
      </w:r>
      <w:r>
        <w:rPr>
          <w:rFonts w:hint="default" w:ascii="Times New Roman" w:hAnsi="Times New Roman" w:eastAsia="楷体_GB2312" w:cs="Times New Roman"/>
          <w:b w:val="0"/>
          <w:bCs w:val="0"/>
          <w:color w:val="000000"/>
          <w:sz w:val="32"/>
          <w:szCs w:val="19"/>
        </w:rPr>
        <w:t>）季度成果编制与年度综合分析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季度阶段性成果：每季度编制监测分析报告、问题统计表、变化专题图，汇总新增疑似问题、核查处置、整改销号数据。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年度综合研判报告：全年汇总4期监测数据，分析全市文物安全风险总体态势、高发风险类型、重点风险片区，提出常态化监管、部门协同、边界完善优化建议。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全套成果归档：数据库、影像资料、图斑矢量、核查台账、文字报告统一标准化归档，形成可长期复用的文物数字资产。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firstLineChars="200"/>
        <w:rPr>
          <w:rFonts w:hint="default" w:ascii="Times New Roman" w:hAnsi="Times New Roman" w:eastAsia="楷体_GB2312" w:cs="Times New Roman"/>
          <w:b w:val="0"/>
          <w:bCs w:val="0"/>
          <w:color w:val="000000"/>
          <w:sz w:val="32"/>
          <w:szCs w:val="19"/>
        </w:rPr>
      </w:pPr>
      <w:r>
        <w:rPr>
          <w:rFonts w:hint="default" w:ascii="Times New Roman" w:hAnsi="Times New Roman" w:eastAsia="楷体_GB2312" w:cs="Times New Roman"/>
          <w:b w:val="0"/>
          <w:bCs w:val="0"/>
          <w:color w:val="000000"/>
          <w:sz w:val="32"/>
          <w:szCs w:val="19"/>
          <w:lang w:val="en-US" w:eastAsia="zh-CN"/>
        </w:rPr>
        <w:t>（五）</w:t>
      </w:r>
      <w:r>
        <w:rPr>
          <w:rFonts w:hint="default" w:ascii="Times New Roman" w:hAnsi="Times New Roman" w:eastAsia="楷体_GB2312" w:cs="Times New Roman"/>
          <w:b w:val="0"/>
          <w:bCs w:val="0"/>
          <w:color w:val="000000"/>
          <w:sz w:val="32"/>
          <w:szCs w:val="19"/>
        </w:rPr>
        <w:t>成果体现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firstLineChars="200"/>
        <w:rPr>
          <w:rFonts w:hint="default" w:ascii="Times New Roman" w:hAnsi="Times New Roman" w:eastAsia="楷体_GB2312" w:cs="Times New Roman"/>
          <w:b w:val="0"/>
          <w:bCs w:val="0"/>
          <w:color w:val="000000"/>
          <w:sz w:val="32"/>
          <w:szCs w:val="19"/>
        </w:rPr>
      </w:pPr>
      <w:r>
        <w:rPr>
          <w:rFonts w:hint="default" w:ascii="Times New Roman" w:hAnsi="Times New Roman" w:eastAsia="楷体_GB2312" w:cs="Times New Roman"/>
          <w:b w:val="0"/>
          <w:bCs w:val="0"/>
          <w:color w:val="000000"/>
          <w:sz w:val="32"/>
          <w:szCs w:val="19"/>
          <w:lang w:val="en-US" w:eastAsia="zh-CN"/>
        </w:rPr>
        <w:t>1.</w:t>
      </w:r>
      <w:r>
        <w:rPr>
          <w:rFonts w:hint="default" w:ascii="Times New Roman" w:hAnsi="Times New Roman" w:eastAsia="楷体_GB2312" w:cs="Times New Roman"/>
          <w:b w:val="0"/>
          <w:bCs w:val="0"/>
          <w:color w:val="000000"/>
          <w:sz w:val="32"/>
          <w:szCs w:val="19"/>
        </w:rPr>
        <w:t>基础数据类成果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《三亚市不可移动文物监测对象动态目录》（含Excel台账+矢量空间图层），包含全市293处文物完整属性信息；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三亚不可移动文物遥感监测空间数据库（文物点位、保护范围、建设控制地带、行政区划、多期卫星影像、历史核查记录一体化库）；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基础地理矢量数据集、历史影像归档数据集。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firstLineChars="200"/>
        <w:rPr>
          <w:rFonts w:hint="default" w:ascii="Times New Roman" w:hAnsi="Times New Roman" w:eastAsia="楷体_GB2312" w:cs="Times New Roman"/>
          <w:b w:val="0"/>
          <w:bCs w:val="0"/>
          <w:color w:val="000000"/>
          <w:sz w:val="32"/>
          <w:szCs w:val="19"/>
        </w:rPr>
      </w:pPr>
      <w:r>
        <w:rPr>
          <w:rFonts w:hint="default" w:ascii="Times New Roman" w:hAnsi="Times New Roman" w:eastAsia="楷体_GB2312" w:cs="Times New Roman"/>
          <w:b w:val="0"/>
          <w:bCs w:val="0"/>
          <w:color w:val="000000"/>
          <w:sz w:val="32"/>
          <w:szCs w:val="19"/>
          <w:lang w:val="en-US" w:eastAsia="zh-CN"/>
        </w:rPr>
        <w:t>2.</w:t>
      </w:r>
      <w:r>
        <w:rPr>
          <w:rFonts w:hint="default" w:ascii="Times New Roman" w:hAnsi="Times New Roman" w:eastAsia="楷体_GB2312" w:cs="Times New Roman"/>
          <w:b w:val="0"/>
          <w:bCs w:val="0"/>
          <w:color w:val="000000"/>
          <w:sz w:val="32"/>
          <w:szCs w:val="19"/>
        </w:rPr>
        <w:t>遥感监测技术成果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全年5期标准化预处理卫星影像（基准1期+季度4期），分幅裁切影像、影像配准处理文档；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季度疑似变化图斑矢量数据集，含每处变化图斑属性表（编号、文物名称、位置、变化面积、风险等级、核查状态）；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多期影像对比专题图、分区分级风险分布图、崖州区重点片区专项监测图件。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firstLineChars="200"/>
        <w:rPr>
          <w:rFonts w:hint="default" w:ascii="Times New Roman" w:hAnsi="Times New Roman" w:eastAsia="楷体_GB2312" w:cs="Times New Roman"/>
          <w:b w:val="0"/>
          <w:bCs w:val="0"/>
          <w:color w:val="000000"/>
          <w:sz w:val="32"/>
          <w:szCs w:val="19"/>
        </w:rPr>
      </w:pPr>
      <w:r>
        <w:rPr>
          <w:rFonts w:hint="default" w:ascii="Times New Roman" w:hAnsi="Times New Roman" w:eastAsia="楷体_GB2312" w:cs="Times New Roman"/>
          <w:b w:val="0"/>
          <w:bCs w:val="0"/>
          <w:color w:val="000000"/>
          <w:sz w:val="32"/>
          <w:szCs w:val="19"/>
          <w:lang w:val="en-US" w:eastAsia="zh-CN"/>
        </w:rPr>
        <w:t>3.</w:t>
      </w:r>
      <w:r>
        <w:rPr>
          <w:rFonts w:hint="default" w:ascii="Times New Roman" w:hAnsi="Times New Roman" w:eastAsia="楷体_GB2312" w:cs="Times New Roman"/>
          <w:b w:val="0"/>
          <w:bCs w:val="0"/>
          <w:color w:val="000000"/>
          <w:sz w:val="32"/>
          <w:szCs w:val="19"/>
        </w:rPr>
        <w:t>文字报告类成果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季度遥感监测分析报告（全年4套），含当期变化统计、风险分析、核查处置情况、工作小结；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年度综合监测总报告：全年文物安全风险总体研判、区域风险特征、高发问题成因、监管优化对策；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项目实施全过程文档：实施方案、阶段沟通记录、验收资料汇编。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firstLineChars="200"/>
        <w:rPr>
          <w:rFonts w:hint="default" w:ascii="Times New Roman" w:hAnsi="Times New Roman" w:eastAsia="楷体_GB2312" w:cs="Times New Roman"/>
          <w:b w:val="0"/>
          <w:bCs w:val="0"/>
          <w:color w:val="000000"/>
          <w:sz w:val="32"/>
          <w:szCs w:val="19"/>
        </w:rPr>
      </w:pPr>
      <w:r>
        <w:rPr>
          <w:rFonts w:hint="default" w:ascii="Times New Roman" w:hAnsi="Times New Roman" w:eastAsia="楷体_GB2312" w:cs="Times New Roman"/>
          <w:b w:val="0"/>
          <w:bCs w:val="0"/>
          <w:color w:val="000000"/>
          <w:sz w:val="32"/>
          <w:szCs w:val="19"/>
          <w:lang w:val="en-US" w:eastAsia="zh-CN"/>
        </w:rPr>
        <w:t>4.</w:t>
      </w:r>
      <w:r>
        <w:rPr>
          <w:rFonts w:hint="default" w:ascii="Times New Roman" w:hAnsi="Times New Roman" w:eastAsia="楷体_GB2312" w:cs="Times New Roman"/>
          <w:b w:val="0"/>
          <w:bCs w:val="0"/>
          <w:color w:val="000000"/>
          <w:sz w:val="32"/>
          <w:szCs w:val="19"/>
        </w:rPr>
        <w:t>归档交付成果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firstLineChars="200"/>
        <w:jc w:val="left"/>
        <w:rPr>
          <w:rFonts w:hint="default" w:ascii="Times New Roman" w:hAnsi="Times New Roman" w:eastAsia="黑体" w:cs="Times New Roman"/>
          <w:b w:val="0"/>
          <w:bCs w:val="0"/>
          <w:color w:val="464646"/>
          <w:sz w:val="32"/>
          <w:szCs w:val="32"/>
          <w:lang w:val="en-US" w:eastAsia="zh-CN"/>
        </w:rPr>
      </w:pPr>
      <w:r>
        <w:rPr>
          <w:rFonts w:hint="default" w:ascii="Times New Roman" w:hAnsi="Times New Roman" w:eastAsia="仿宋_GB2312" w:cs="Times New Roman"/>
          <w:color w:val="000000"/>
          <w:kern w:val="0"/>
          <w:sz w:val="32"/>
          <w:szCs w:val="19"/>
          <w:lang w:val="en-US" w:eastAsia="zh-CN" w:bidi="ar"/>
        </w:rPr>
        <w:t>全套电子成果（数据库、影像、矢量、图件、报告）+ 纸质归档资料（报告、图纸、台账装订册），形成完整可移交、可长期留存的文物监管数字资产。</w:t>
      </w:r>
    </w:p>
    <w:p>
      <w:pPr>
        <w:ind w:firstLine="640" w:firstLineChars="200"/>
        <w:rPr>
          <w:rFonts w:hint="default" w:ascii="Times New Roman" w:hAnsi="Times New Roman" w:eastAsia="黑体" w:cs="Times New Roman"/>
          <w:b w:val="0"/>
          <w:bCs w:val="0"/>
          <w:color w:val="464646"/>
          <w:sz w:val="32"/>
          <w:szCs w:val="32"/>
          <w:lang w:val="en-US" w:eastAsia="zh-CN"/>
        </w:rPr>
      </w:pPr>
      <w:r>
        <w:rPr>
          <w:rFonts w:hint="default" w:ascii="Times New Roman" w:hAnsi="Times New Roman" w:eastAsia="黑体" w:cs="Times New Roman"/>
          <w:b w:val="0"/>
          <w:bCs w:val="0"/>
          <w:color w:val="464646"/>
          <w:sz w:val="32"/>
          <w:szCs w:val="32"/>
          <w:lang w:val="en-US" w:eastAsia="zh-CN"/>
        </w:rPr>
        <w:t>八、评分标准</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265"/>
        <w:gridCol w:w="5299"/>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9061" w:type="dxa"/>
            <w:gridSpan w:val="4"/>
            <w:noWrap w:val="0"/>
            <w:vAlign w:val="center"/>
          </w:tcPr>
          <w:p>
            <w:pPr>
              <w:spacing w:line="579" w:lineRule="exact"/>
              <w:jc w:val="center"/>
              <w:rPr>
                <w:rFonts w:hint="default" w:ascii="Times New Roman" w:hAnsi="Times New Roman" w:eastAsia="黑体" w:cs="Times New Roman"/>
                <w:b w:val="0"/>
                <w:bCs w:val="0"/>
                <w:color w:val="464646"/>
                <w:sz w:val="36"/>
                <w:szCs w:val="36"/>
                <w:vertAlign w:val="baseline"/>
                <w:lang w:val="en-US" w:eastAsia="zh-CN"/>
              </w:rPr>
            </w:pPr>
            <w:r>
              <w:rPr>
                <w:rFonts w:hint="default" w:ascii="Times New Roman" w:hAnsi="Times New Roman" w:eastAsia="宋体" w:cs="Times New Roman"/>
                <w:b w:val="0"/>
                <w:bCs w:val="0"/>
                <w:color w:val="000000"/>
                <w:kern w:val="0"/>
                <w:sz w:val="22"/>
                <w:szCs w:val="22"/>
                <w:vertAlign w:val="baseline"/>
                <w:lang w:val="en-US" w:eastAsia="zh-CN"/>
              </w:rPr>
              <w:t>三亚市市级文物保护单位及尚未核定为文物保护单位的不可移动文物卫星遥感监测项目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111" w:type="dxa"/>
            <w:noWrap w:val="0"/>
            <w:vAlign w:val="center"/>
          </w:tcPr>
          <w:p>
            <w:pPr>
              <w:widowControl/>
              <w:spacing w:line="300" w:lineRule="auto"/>
              <w:ind w:firstLine="220" w:firstLineChars="100"/>
              <w:jc w:val="both"/>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eastAsia="宋体" w:cs="Times New Roman"/>
                <w:b w:val="0"/>
                <w:bCs w:val="0"/>
                <w:color w:val="000000"/>
                <w:kern w:val="0"/>
                <w:sz w:val="22"/>
                <w:szCs w:val="22"/>
                <w:vertAlign w:val="baseline"/>
                <w:lang w:val="en-US" w:eastAsia="zh-CN"/>
              </w:rPr>
              <w:t>序号</w:t>
            </w:r>
          </w:p>
        </w:tc>
        <w:tc>
          <w:tcPr>
            <w:tcW w:w="1265" w:type="dxa"/>
            <w:noWrap w:val="0"/>
            <w:vAlign w:val="center"/>
          </w:tcPr>
          <w:p>
            <w:pPr>
              <w:widowControl/>
              <w:spacing w:line="300" w:lineRule="auto"/>
              <w:ind w:firstLine="220" w:firstLineChars="100"/>
              <w:jc w:val="left"/>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eastAsia="宋体" w:cs="Times New Roman"/>
                <w:b w:val="0"/>
                <w:bCs w:val="0"/>
                <w:color w:val="000000"/>
                <w:kern w:val="0"/>
                <w:sz w:val="22"/>
                <w:szCs w:val="22"/>
                <w:vertAlign w:val="baseline"/>
                <w:lang w:val="en-US" w:eastAsia="zh-CN"/>
              </w:rPr>
              <w:t>名称</w:t>
            </w:r>
          </w:p>
        </w:tc>
        <w:tc>
          <w:tcPr>
            <w:tcW w:w="5299" w:type="dxa"/>
            <w:noWrap w:val="0"/>
            <w:vAlign w:val="center"/>
          </w:tcPr>
          <w:p>
            <w:pPr>
              <w:widowControl/>
              <w:spacing w:line="300" w:lineRule="auto"/>
              <w:ind w:firstLine="420"/>
              <w:jc w:val="center"/>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eastAsia="宋体" w:cs="Times New Roman"/>
                <w:b w:val="0"/>
                <w:bCs w:val="0"/>
                <w:color w:val="000000"/>
                <w:kern w:val="0"/>
                <w:sz w:val="22"/>
                <w:szCs w:val="22"/>
                <w:vertAlign w:val="baseline"/>
                <w:lang w:val="en-US" w:eastAsia="zh-CN"/>
              </w:rPr>
              <w:t>内容</w:t>
            </w:r>
          </w:p>
        </w:tc>
        <w:tc>
          <w:tcPr>
            <w:tcW w:w="1386" w:type="dxa"/>
            <w:noWrap w:val="0"/>
            <w:vAlign w:val="center"/>
          </w:tcPr>
          <w:p>
            <w:pPr>
              <w:widowControl/>
              <w:spacing w:line="300" w:lineRule="auto"/>
              <w:ind w:firstLine="420"/>
              <w:jc w:val="left"/>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eastAsia="宋体" w:cs="Times New Roman"/>
                <w:b w:val="0"/>
                <w:bCs w:val="0"/>
                <w:color w:val="000000"/>
                <w:kern w:val="0"/>
                <w:sz w:val="22"/>
                <w:szCs w:val="22"/>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11" w:type="dxa"/>
            <w:noWrap w:val="0"/>
            <w:vAlign w:val="center"/>
          </w:tcPr>
          <w:p>
            <w:pPr>
              <w:widowControl/>
              <w:spacing w:line="300" w:lineRule="auto"/>
              <w:ind w:firstLine="420"/>
              <w:jc w:val="both"/>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cs="Times New Roman"/>
                <w:b w:val="0"/>
                <w:bCs w:val="0"/>
                <w:color w:val="000000"/>
                <w:kern w:val="0"/>
                <w:sz w:val="22"/>
                <w:szCs w:val="22"/>
                <w:vertAlign w:val="baseline"/>
                <w:lang w:val="en-US" w:eastAsia="zh-CN"/>
              </w:rPr>
              <w:t>1</w:t>
            </w:r>
          </w:p>
        </w:tc>
        <w:tc>
          <w:tcPr>
            <w:tcW w:w="1265" w:type="dxa"/>
            <w:noWrap w:val="0"/>
            <w:vAlign w:val="center"/>
          </w:tcPr>
          <w:p>
            <w:pPr>
              <w:widowControl/>
              <w:spacing w:line="300" w:lineRule="auto"/>
              <w:ind w:firstLine="0"/>
              <w:jc w:val="both"/>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eastAsia="宋体" w:cs="Times New Roman"/>
                <w:b w:val="0"/>
                <w:bCs w:val="0"/>
                <w:color w:val="000000"/>
                <w:kern w:val="0"/>
                <w:sz w:val="22"/>
                <w:szCs w:val="22"/>
                <w:vertAlign w:val="baseline"/>
                <w:lang w:val="en-US" w:eastAsia="zh-CN"/>
              </w:rPr>
              <w:t>价格分</w:t>
            </w:r>
          </w:p>
        </w:tc>
        <w:tc>
          <w:tcPr>
            <w:tcW w:w="5299" w:type="dxa"/>
            <w:noWrap w:val="0"/>
            <w:vAlign w:val="center"/>
          </w:tcPr>
          <w:p>
            <w:pPr>
              <w:pageBreakBefore w:val="0"/>
              <w:widowControl/>
              <w:kinsoku/>
              <w:wordWrap/>
              <w:overflowPunct/>
              <w:topLinePunct w:val="0"/>
              <w:autoSpaceDE/>
              <w:bidi w:val="0"/>
              <w:adjustRightInd/>
              <w:snapToGrid/>
              <w:spacing w:line="300" w:lineRule="auto"/>
              <w:ind w:firstLine="0"/>
              <w:jc w:val="both"/>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综合评分法中的价格分统一采用低价优先法计算，即满足磋商文件要求且最后报价最低的供应商的价格为磋商基准价，其价格分为满分</w:t>
            </w:r>
            <w:r>
              <w:rPr>
                <w:rFonts w:hint="default" w:ascii="Times New Roman" w:hAnsi="Times New Roman" w:cs="Times New Roman"/>
                <w:color w:val="000000"/>
                <w:kern w:val="0"/>
                <w:sz w:val="22"/>
                <w:szCs w:val="22"/>
              </w:rPr>
              <w:t>，本次磋商不采取二次报价</w:t>
            </w:r>
            <w:r>
              <w:rPr>
                <w:rFonts w:hint="default" w:ascii="Times New Roman" w:hAnsi="Times New Roman" w:eastAsia="宋体" w:cs="Times New Roman"/>
                <w:color w:val="000000"/>
                <w:kern w:val="0"/>
                <w:sz w:val="22"/>
                <w:szCs w:val="22"/>
              </w:rPr>
              <w:t>。其他供应商的价格分统一按照下列公式计算：</w:t>
            </w:r>
          </w:p>
          <w:p>
            <w:pPr>
              <w:widowControl/>
              <w:spacing w:line="300" w:lineRule="auto"/>
              <w:jc w:val="both"/>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eastAsia="宋体" w:cs="Times New Roman"/>
                <w:color w:val="000000"/>
                <w:kern w:val="0"/>
                <w:sz w:val="22"/>
                <w:szCs w:val="22"/>
              </w:rPr>
              <w:t>磋商报价得分=（磋商基准价/最后磋商报价）×30%×100</w:t>
            </w:r>
          </w:p>
        </w:tc>
        <w:tc>
          <w:tcPr>
            <w:tcW w:w="1386" w:type="dxa"/>
            <w:noWrap w:val="0"/>
            <w:vAlign w:val="center"/>
          </w:tcPr>
          <w:p>
            <w:pPr>
              <w:widowControl/>
              <w:spacing w:line="300" w:lineRule="auto"/>
              <w:ind w:firstLine="420"/>
              <w:jc w:val="left"/>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eastAsia="宋体" w:cs="Times New Roman"/>
                <w:b w:val="0"/>
                <w:bCs w:val="0"/>
                <w:color w:val="000000"/>
                <w:kern w:val="0"/>
                <w:sz w:val="22"/>
                <w:szCs w:val="22"/>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1" w:type="dxa"/>
            <w:noWrap w:val="0"/>
            <w:vAlign w:val="center"/>
          </w:tcPr>
          <w:p>
            <w:pPr>
              <w:widowControl/>
              <w:spacing w:line="300" w:lineRule="auto"/>
              <w:ind w:firstLine="420"/>
              <w:jc w:val="both"/>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cs="Times New Roman"/>
                <w:b w:val="0"/>
                <w:bCs w:val="0"/>
                <w:color w:val="000000"/>
                <w:kern w:val="0"/>
                <w:sz w:val="22"/>
                <w:szCs w:val="22"/>
                <w:vertAlign w:val="baseline"/>
                <w:lang w:val="en-US" w:eastAsia="zh-CN"/>
              </w:rPr>
              <w:t>2</w:t>
            </w:r>
          </w:p>
        </w:tc>
        <w:tc>
          <w:tcPr>
            <w:tcW w:w="1265" w:type="dxa"/>
            <w:noWrap w:val="0"/>
            <w:vAlign w:val="center"/>
          </w:tcPr>
          <w:p>
            <w:pPr>
              <w:widowControl/>
              <w:spacing w:line="300" w:lineRule="auto"/>
              <w:ind w:firstLine="0"/>
              <w:jc w:val="both"/>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eastAsia="宋体" w:cs="Times New Roman"/>
                <w:b w:val="0"/>
                <w:bCs w:val="0"/>
                <w:color w:val="000000"/>
                <w:kern w:val="0"/>
                <w:sz w:val="22"/>
                <w:szCs w:val="22"/>
                <w:vertAlign w:val="baseline"/>
                <w:lang w:val="en-US" w:eastAsia="zh-CN"/>
              </w:rPr>
              <w:t>业绩分</w:t>
            </w:r>
          </w:p>
        </w:tc>
        <w:tc>
          <w:tcPr>
            <w:tcW w:w="5299" w:type="dxa"/>
            <w:noWrap w:val="0"/>
            <w:vAlign w:val="center"/>
          </w:tcPr>
          <w:p>
            <w:pPr>
              <w:pageBreakBefore w:val="0"/>
              <w:widowControl/>
              <w:numPr>
                <w:ilvl w:val="0"/>
                <w:numId w:val="0"/>
              </w:numPr>
              <w:tabs>
                <w:tab w:val="left" w:pos="1220"/>
              </w:tabs>
              <w:kinsoku/>
              <w:wordWrap/>
              <w:overflowPunct/>
              <w:topLinePunct w:val="0"/>
              <w:autoSpaceDE/>
              <w:bidi w:val="0"/>
              <w:adjustRightInd/>
              <w:snapToGrid/>
              <w:spacing w:line="300" w:lineRule="auto"/>
              <w:ind w:firstLine="0" w:firstLineChars="0"/>
              <w:jc w:val="both"/>
              <w:textAlignment w:val="auto"/>
              <w:rPr>
                <w:rFonts w:hint="default" w:ascii="Times New Roman" w:hAnsi="Times New Roman" w:eastAsia="宋体" w:cs="Times New Roman"/>
                <w:color w:val="000000"/>
                <w:kern w:val="0"/>
                <w:sz w:val="22"/>
                <w:szCs w:val="22"/>
                <w:lang w:val="en-US" w:eastAsia="zh-CN"/>
              </w:rPr>
            </w:pPr>
            <w:r>
              <w:rPr>
                <w:rFonts w:hint="eastAsia" w:ascii="宋体" w:hAnsi="宋体" w:eastAsia="宋体" w:cs="宋体"/>
                <w:kern w:val="2"/>
                <w:sz w:val="21"/>
                <w:szCs w:val="21"/>
              </w:rPr>
              <w:t>供应商需提供</w:t>
            </w:r>
            <w:r>
              <w:rPr>
                <w:rFonts w:hint="default" w:ascii="Calibri" w:hAnsi="Calibri" w:eastAsia="宋体" w:cs="Calibri"/>
                <w:kern w:val="2"/>
                <w:sz w:val="21"/>
                <w:szCs w:val="21"/>
              </w:rPr>
              <w:t>2023</w:t>
            </w:r>
            <w:r>
              <w:rPr>
                <w:rFonts w:hint="eastAsia" w:ascii="宋体" w:hAnsi="宋体" w:eastAsia="宋体" w:cs="宋体"/>
                <w:kern w:val="2"/>
                <w:sz w:val="21"/>
                <w:szCs w:val="21"/>
              </w:rPr>
              <w:t>年至今与文物遥感监测、文物研究、文化遗产保护工作等相关方面的项目业绩，每提供一份得</w:t>
            </w:r>
            <w:r>
              <w:rPr>
                <w:rFonts w:hint="default" w:ascii="Calibri" w:hAnsi="Calibri" w:eastAsia="宋体" w:cs="Calibri"/>
                <w:kern w:val="2"/>
                <w:sz w:val="21"/>
                <w:szCs w:val="21"/>
              </w:rPr>
              <w:t>5</w:t>
            </w:r>
            <w:r>
              <w:rPr>
                <w:rFonts w:hint="eastAsia" w:ascii="宋体" w:hAnsi="宋体" w:eastAsia="宋体" w:cs="宋体"/>
                <w:kern w:val="2"/>
                <w:sz w:val="21"/>
                <w:szCs w:val="21"/>
              </w:rPr>
              <w:t>分，</w:t>
            </w:r>
            <w:r>
              <w:rPr>
                <w:rFonts w:hint="default" w:ascii="Times New Roman" w:hAnsi="Times New Roman" w:eastAsia="宋体" w:cs="Times New Roman"/>
                <w:color w:val="000000"/>
                <w:kern w:val="0"/>
                <w:sz w:val="22"/>
                <w:szCs w:val="22"/>
                <w:lang w:val="en-US" w:eastAsia="zh-CN" w:bidi="ar"/>
              </w:rPr>
              <w:t>本项满分</w:t>
            </w:r>
            <w:r>
              <w:rPr>
                <w:rFonts w:hint="default" w:ascii="Times New Roman" w:hAnsi="Times New Roman" w:cs="Times New Roman"/>
                <w:color w:val="000000"/>
                <w:kern w:val="0"/>
                <w:sz w:val="22"/>
                <w:szCs w:val="22"/>
                <w:lang w:val="en-US" w:eastAsia="zh-CN" w:bidi="ar"/>
              </w:rPr>
              <w:t>20</w:t>
            </w:r>
            <w:r>
              <w:rPr>
                <w:rFonts w:hint="default" w:ascii="Times New Roman" w:hAnsi="Times New Roman" w:eastAsia="宋体" w:cs="Times New Roman"/>
                <w:color w:val="000000"/>
                <w:kern w:val="0"/>
                <w:sz w:val="22"/>
                <w:szCs w:val="22"/>
                <w:lang w:val="en-US" w:eastAsia="zh-CN" w:bidi="ar"/>
              </w:rPr>
              <w:t>分要求如下：</w:t>
            </w:r>
          </w:p>
          <w:p>
            <w:pPr>
              <w:widowControl/>
              <w:spacing w:line="300" w:lineRule="auto"/>
              <w:ind w:firstLine="0"/>
              <w:jc w:val="both"/>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eastAsia="宋体" w:cs="Times New Roman"/>
                <w:color w:val="000000"/>
                <w:kern w:val="0"/>
                <w:sz w:val="22"/>
                <w:szCs w:val="22"/>
                <w:lang w:val="en-US" w:eastAsia="zh-CN" w:bidi="ar"/>
              </w:rPr>
              <w:t>注：投标人必须提供合同复印件</w:t>
            </w:r>
            <w:r>
              <w:rPr>
                <w:rFonts w:hint="default" w:ascii="Times New Roman" w:hAnsi="Times New Roman" w:cs="Times New Roman"/>
                <w:color w:val="000000"/>
                <w:kern w:val="0"/>
                <w:sz w:val="22"/>
                <w:szCs w:val="22"/>
                <w:lang w:val="en-US" w:eastAsia="zh-CN" w:bidi="ar"/>
              </w:rPr>
              <w:t>或</w:t>
            </w:r>
            <w:r>
              <w:rPr>
                <w:rFonts w:hint="default" w:ascii="Times New Roman" w:hAnsi="Times New Roman" w:eastAsia="宋体" w:cs="Times New Roman"/>
                <w:color w:val="000000"/>
                <w:kern w:val="0"/>
                <w:sz w:val="22"/>
                <w:szCs w:val="22"/>
                <w:lang w:val="en-US" w:eastAsia="zh-CN" w:bidi="ar"/>
              </w:rPr>
              <w:t>验收材料等，未按要求提供的不得分。</w:t>
            </w:r>
          </w:p>
        </w:tc>
        <w:tc>
          <w:tcPr>
            <w:tcW w:w="1386" w:type="dxa"/>
            <w:noWrap w:val="0"/>
            <w:vAlign w:val="center"/>
          </w:tcPr>
          <w:p>
            <w:pPr>
              <w:widowControl/>
              <w:spacing w:line="300" w:lineRule="auto"/>
              <w:ind w:firstLine="420"/>
              <w:jc w:val="left"/>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cs="Times New Roman"/>
                <w:b w:val="0"/>
                <w:bCs w:val="0"/>
                <w:color w:val="000000"/>
                <w:kern w:val="0"/>
                <w:sz w:val="22"/>
                <w:szCs w:val="22"/>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1" w:type="dxa"/>
            <w:noWrap w:val="0"/>
            <w:vAlign w:val="center"/>
          </w:tcPr>
          <w:p>
            <w:pPr>
              <w:widowControl/>
              <w:spacing w:line="300" w:lineRule="auto"/>
              <w:ind w:firstLine="420"/>
              <w:jc w:val="both"/>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cs="Times New Roman"/>
                <w:b w:val="0"/>
                <w:bCs w:val="0"/>
                <w:color w:val="000000"/>
                <w:kern w:val="0"/>
                <w:sz w:val="22"/>
                <w:szCs w:val="22"/>
                <w:vertAlign w:val="baseline"/>
                <w:lang w:val="en-US" w:eastAsia="zh-CN"/>
              </w:rPr>
              <w:t>3</w:t>
            </w:r>
          </w:p>
        </w:tc>
        <w:tc>
          <w:tcPr>
            <w:tcW w:w="1265" w:type="dxa"/>
            <w:noWrap w:val="0"/>
            <w:vAlign w:val="center"/>
          </w:tcPr>
          <w:p>
            <w:pPr>
              <w:pageBreakBefore w:val="0"/>
              <w:widowControl/>
              <w:kinsoku/>
              <w:wordWrap/>
              <w:overflowPunct/>
              <w:topLinePunct w:val="0"/>
              <w:autoSpaceDE/>
              <w:bidi w:val="0"/>
              <w:adjustRightInd/>
              <w:snapToGrid/>
              <w:spacing w:line="300" w:lineRule="auto"/>
              <w:ind w:firstLine="0" w:firstLineChars="0"/>
              <w:jc w:val="both"/>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人员配置分</w:t>
            </w:r>
          </w:p>
        </w:tc>
        <w:tc>
          <w:tcPr>
            <w:tcW w:w="5299" w:type="dxa"/>
            <w:noWrap w:val="0"/>
            <w:vAlign w:val="center"/>
          </w:tcPr>
          <w:p>
            <w:pPr>
              <w:pageBreakBefore w:val="0"/>
              <w:widowControl/>
              <w:kinsoku/>
              <w:wordWrap/>
              <w:overflowPunct/>
              <w:topLinePunct w:val="0"/>
              <w:autoSpaceDE/>
              <w:bidi w:val="0"/>
              <w:adjustRightInd/>
              <w:snapToGrid/>
              <w:spacing w:line="300" w:lineRule="auto"/>
              <w:ind w:firstLine="0" w:firstLineChars="0"/>
              <w:jc w:val="both"/>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保证本项目的售后服务有保障，供应商拟投入本项目技术力量：</w:t>
            </w:r>
            <w:r>
              <w:rPr>
                <w:rFonts w:hint="eastAsia" w:ascii="Times New Roman" w:hAnsi="Times New Roman" w:eastAsia="宋体" w:cs="Times New Roman"/>
                <w:color w:val="000000"/>
                <w:kern w:val="0"/>
                <w:sz w:val="22"/>
                <w:szCs w:val="22"/>
                <w:lang w:val="en-US" w:eastAsia="zh-CN" w:bidi="ar"/>
              </w:rPr>
              <w:br w:type="textWrapping"/>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供应商具有与文物研究、文物保护、文化遗产相关学历背景</w:t>
            </w:r>
            <w:r>
              <w:rPr>
                <w:rFonts w:hint="default" w:ascii="Times New Roman" w:hAnsi="Times New Roman" w:cs="Times New Roman"/>
                <w:color w:val="000000"/>
                <w:kern w:val="0"/>
                <w:sz w:val="22"/>
                <w:szCs w:val="22"/>
                <w:lang w:eastAsia="zh-CN" w:bidi="ar"/>
              </w:rPr>
              <w:t>及获取文物职业证书</w:t>
            </w:r>
            <w:r>
              <w:rPr>
                <w:rFonts w:hint="eastAsia" w:ascii="Times New Roman" w:hAnsi="Times New Roman" w:eastAsia="宋体" w:cs="Times New Roman"/>
                <w:color w:val="000000"/>
                <w:kern w:val="0"/>
                <w:sz w:val="22"/>
                <w:szCs w:val="22"/>
                <w:lang w:val="en-US" w:eastAsia="zh-CN" w:bidi="ar"/>
              </w:rPr>
              <w:t>（本科及以上）的人员每提供一个得</w:t>
            </w:r>
            <w:r>
              <w:rPr>
                <w:rFonts w:hint="default" w:ascii="Times New Roman" w:hAnsi="Times New Roman" w:eastAsia="宋体" w:cs="Times New Roman"/>
                <w:color w:val="000000"/>
                <w:kern w:val="0"/>
                <w:sz w:val="22"/>
                <w:szCs w:val="22"/>
                <w:lang w:val="en-US" w:eastAsia="zh-CN" w:bidi="ar"/>
              </w:rPr>
              <w:t>2</w:t>
            </w:r>
            <w:r>
              <w:rPr>
                <w:rFonts w:hint="eastAsia" w:ascii="Times New Roman" w:hAnsi="Times New Roman" w:eastAsia="宋体" w:cs="Times New Roman"/>
                <w:color w:val="000000"/>
                <w:kern w:val="0"/>
                <w:sz w:val="22"/>
                <w:szCs w:val="22"/>
                <w:lang w:val="en-US" w:eastAsia="zh-CN" w:bidi="ar"/>
              </w:rPr>
              <w:t>分，</w:t>
            </w:r>
            <w:r>
              <w:rPr>
                <w:rFonts w:hint="eastAsia" w:ascii="Times New Roman" w:hAnsi="Times New Roman" w:eastAsia="宋体" w:cs="Times New Roman"/>
                <w:color w:val="000000"/>
                <w:kern w:val="0"/>
                <w:sz w:val="22"/>
                <w:szCs w:val="22"/>
                <w:lang w:val="en-US" w:eastAsia="zh-CN" w:bidi="ar"/>
              </w:rPr>
              <w:br w:type="textWrapping"/>
            </w:r>
            <w:r>
              <w:rPr>
                <w:rFonts w:hint="eastAsia" w:ascii="Times New Roman" w:hAnsi="Times New Roman" w:eastAsia="宋体" w:cs="Times New Roman"/>
                <w:color w:val="000000"/>
                <w:kern w:val="0"/>
                <w:sz w:val="22"/>
                <w:szCs w:val="22"/>
                <w:lang w:val="en-US" w:eastAsia="zh-CN" w:bidi="ar"/>
              </w:rPr>
              <w:t>本项满分</w:t>
            </w:r>
            <w:r>
              <w:rPr>
                <w:rFonts w:hint="default" w:ascii="Times New Roman" w:hAnsi="Times New Roman" w:eastAsia="宋体" w:cs="Times New Roman"/>
                <w:color w:val="000000"/>
                <w:kern w:val="0"/>
                <w:sz w:val="22"/>
                <w:szCs w:val="22"/>
                <w:lang w:val="en-US" w:eastAsia="zh-CN" w:bidi="ar"/>
              </w:rPr>
              <w:t>10</w:t>
            </w:r>
            <w:r>
              <w:rPr>
                <w:rFonts w:hint="eastAsia" w:ascii="Times New Roman" w:hAnsi="Times New Roman" w:eastAsia="宋体" w:cs="Times New Roman"/>
                <w:color w:val="000000"/>
                <w:kern w:val="0"/>
                <w:sz w:val="22"/>
                <w:szCs w:val="22"/>
                <w:lang w:val="en-US" w:eastAsia="zh-CN" w:bidi="ar"/>
              </w:rPr>
              <w:t>分。</w:t>
            </w:r>
            <w:r>
              <w:rPr>
                <w:rFonts w:hint="eastAsia" w:ascii="Times New Roman" w:hAnsi="Times New Roman" w:eastAsia="宋体" w:cs="Times New Roman"/>
                <w:color w:val="000000"/>
                <w:kern w:val="0"/>
                <w:sz w:val="22"/>
                <w:szCs w:val="22"/>
                <w:lang w:val="en-US" w:eastAsia="zh-CN" w:bidi="ar"/>
              </w:rPr>
              <w:br w:type="textWrapping"/>
            </w:r>
            <w:r>
              <w:rPr>
                <w:rFonts w:hint="eastAsia" w:ascii="Times New Roman" w:hAnsi="Times New Roman" w:eastAsia="宋体" w:cs="Times New Roman"/>
                <w:color w:val="000000"/>
                <w:kern w:val="0"/>
                <w:sz w:val="22"/>
                <w:szCs w:val="22"/>
                <w:lang w:val="en-US" w:eastAsia="zh-CN" w:bidi="ar"/>
              </w:rPr>
              <w:t>（以上均需提供相应证书复印件、身份证，未按要求提供的不得分。以上人员不重复得分。）</w:t>
            </w:r>
          </w:p>
        </w:tc>
        <w:tc>
          <w:tcPr>
            <w:tcW w:w="1386" w:type="dxa"/>
            <w:noWrap w:val="0"/>
            <w:vAlign w:val="center"/>
          </w:tcPr>
          <w:p>
            <w:pPr>
              <w:widowControl/>
              <w:spacing w:line="300" w:lineRule="auto"/>
              <w:ind w:firstLine="420"/>
              <w:jc w:val="left"/>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cs="Times New Roman"/>
                <w:b w:val="0"/>
                <w:bCs w:val="0"/>
                <w:color w:val="000000"/>
                <w:kern w:val="0"/>
                <w:sz w:val="22"/>
                <w:szCs w:val="22"/>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1" w:type="dxa"/>
            <w:noWrap w:val="0"/>
            <w:vAlign w:val="center"/>
          </w:tcPr>
          <w:p>
            <w:pPr>
              <w:widowControl/>
              <w:spacing w:line="300" w:lineRule="auto"/>
              <w:ind w:firstLine="420"/>
              <w:jc w:val="both"/>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cs="Times New Roman"/>
                <w:b w:val="0"/>
                <w:bCs w:val="0"/>
                <w:color w:val="000000"/>
                <w:kern w:val="0"/>
                <w:sz w:val="22"/>
                <w:szCs w:val="22"/>
                <w:vertAlign w:val="baseline"/>
                <w:lang w:val="en-US" w:eastAsia="zh-CN"/>
              </w:rPr>
              <w:t>4</w:t>
            </w:r>
          </w:p>
        </w:tc>
        <w:tc>
          <w:tcPr>
            <w:tcW w:w="1265" w:type="dxa"/>
            <w:noWrap w:val="0"/>
            <w:vAlign w:val="center"/>
          </w:tcPr>
          <w:p>
            <w:pPr>
              <w:widowControl/>
              <w:spacing w:line="300" w:lineRule="auto"/>
              <w:ind w:firstLine="0"/>
              <w:jc w:val="both"/>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cs="Times New Roman"/>
                <w:b w:val="0"/>
                <w:bCs w:val="0"/>
                <w:color w:val="000000"/>
                <w:kern w:val="0"/>
                <w:sz w:val="22"/>
                <w:szCs w:val="22"/>
                <w:vertAlign w:val="baseline"/>
                <w:lang w:eastAsia="zh-CN"/>
              </w:rPr>
              <w:t>实施</w:t>
            </w:r>
            <w:r>
              <w:rPr>
                <w:rFonts w:hint="default" w:ascii="Times New Roman" w:hAnsi="Times New Roman" w:eastAsia="宋体" w:cs="Times New Roman"/>
                <w:b w:val="0"/>
                <w:bCs w:val="0"/>
                <w:color w:val="000000"/>
                <w:kern w:val="0"/>
                <w:sz w:val="22"/>
                <w:szCs w:val="22"/>
                <w:vertAlign w:val="baseline"/>
                <w:lang w:val="en-US" w:eastAsia="zh-CN"/>
              </w:rPr>
              <w:t>方案</w:t>
            </w:r>
            <w:r>
              <w:rPr>
                <w:rFonts w:hint="default" w:ascii="Times New Roman" w:hAnsi="Times New Roman" w:cs="Times New Roman"/>
                <w:b w:val="0"/>
                <w:bCs w:val="0"/>
                <w:color w:val="000000"/>
                <w:kern w:val="0"/>
                <w:sz w:val="22"/>
                <w:szCs w:val="22"/>
                <w:vertAlign w:val="baseline"/>
                <w:lang w:eastAsia="zh-CN"/>
              </w:rPr>
              <w:t>技术</w:t>
            </w:r>
            <w:r>
              <w:rPr>
                <w:rFonts w:hint="default" w:ascii="Times New Roman" w:hAnsi="Times New Roman" w:eastAsia="宋体" w:cs="Times New Roman"/>
                <w:b w:val="0"/>
                <w:bCs w:val="0"/>
                <w:color w:val="000000"/>
                <w:kern w:val="0"/>
                <w:sz w:val="22"/>
                <w:szCs w:val="22"/>
                <w:vertAlign w:val="baseline"/>
                <w:lang w:val="en-US" w:eastAsia="zh-CN"/>
              </w:rPr>
              <w:t>分</w:t>
            </w:r>
          </w:p>
        </w:tc>
        <w:tc>
          <w:tcPr>
            <w:tcW w:w="5299" w:type="dxa"/>
            <w:noWrap w:val="0"/>
            <w:vAlign w:val="center"/>
          </w:tcPr>
          <w:p>
            <w:pPr>
              <w:pageBreakBefore w:val="0"/>
              <w:widowControl/>
              <w:kinsoku/>
              <w:wordWrap/>
              <w:overflowPunct/>
              <w:topLinePunct w:val="0"/>
              <w:autoSpaceDE/>
              <w:bidi w:val="0"/>
              <w:adjustRightInd/>
              <w:snapToGrid/>
              <w:spacing w:line="300" w:lineRule="auto"/>
              <w:ind w:firstLine="0" w:firstLineChars="0"/>
              <w:jc w:val="both"/>
              <w:rPr>
                <w:rFonts w:hint="default" w:ascii="Times New Roman" w:hAnsi="Times New Roman" w:eastAsia="宋体" w:cs="Times New Roman"/>
                <w:b w:val="0"/>
                <w:bCs w:val="0"/>
                <w:color w:val="FF0000"/>
                <w:kern w:val="0"/>
                <w:sz w:val="22"/>
                <w:szCs w:val="22"/>
                <w:vertAlign w:val="baseline"/>
                <w:lang w:val="en-US" w:eastAsia="zh-CN"/>
              </w:rPr>
            </w:pPr>
            <w:r>
              <w:rPr>
                <w:rFonts w:hint="eastAsia" w:ascii="Times New Roman" w:hAnsi="Times New Roman" w:eastAsia="宋体" w:cs="Times New Roman"/>
                <w:color w:val="000000"/>
                <w:kern w:val="0"/>
                <w:sz w:val="22"/>
                <w:szCs w:val="22"/>
                <w:lang w:val="en-US" w:eastAsia="zh-CN" w:bidi="ar"/>
              </w:rPr>
              <w:t>根据供应商针对本项目实际情况制定的项目实施方案进行综合评审，内容包括：①项目背景、②建设依据与实施原则、</w:t>
            </w:r>
            <w:r>
              <w:rPr>
                <w:rFonts w:hint="default" w:ascii="Times New Roman" w:hAnsi="Times New Roman" w:cs="Times New Roman"/>
                <w:color w:val="000000"/>
                <w:kern w:val="0"/>
                <w:sz w:val="22"/>
                <w:szCs w:val="22"/>
                <w:lang w:eastAsia="zh-CN" w:bidi="ar"/>
              </w:rPr>
              <w:t>③</w:t>
            </w:r>
            <w:r>
              <w:rPr>
                <w:rFonts w:hint="eastAsia" w:ascii="Times New Roman" w:hAnsi="Times New Roman" w:eastAsia="宋体" w:cs="Times New Roman"/>
                <w:color w:val="000000"/>
                <w:kern w:val="0"/>
                <w:sz w:val="22"/>
                <w:szCs w:val="22"/>
                <w:lang w:val="en-US" w:eastAsia="zh-CN" w:bidi="ar"/>
              </w:rPr>
              <w:t>项目必要性与总体目标、</w:t>
            </w:r>
            <w:r>
              <w:rPr>
                <w:rFonts w:hint="default" w:ascii="Times New Roman" w:hAnsi="Times New Roman" w:cs="Times New Roman"/>
                <w:color w:val="000000"/>
                <w:kern w:val="0"/>
                <w:sz w:val="22"/>
                <w:szCs w:val="22"/>
                <w:lang w:eastAsia="zh-CN" w:bidi="ar"/>
              </w:rPr>
              <w:t>④</w:t>
            </w:r>
            <w:r>
              <w:rPr>
                <w:rFonts w:hint="eastAsia" w:ascii="Times New Roman" w:hAnsi="Times New Roman" w:eastAsia="宋体" w:cs="Times New Roman"/>
                <w:color w:val="000000"/>
                <w:kern w:val="0"/>
                <w:sz w:val="22"/>
                <w:szCs w:val="22"/>
                <w:lang w:val="en-US" w:eastAsia="zh-CN" w:bidi="ar"/>
              </w:rPr>
              <w:t>建设任务与技术方案、</w:t>
            </w:r>
            <w:r>
              <w:rPr>
                <w:rFonts w:hint="default" w:ascii="Times New Roman" w:hAnsi="Times New Roman" w:cs="Times New Roman"/>
                <w:color w:val="000000"/>
                <w:kern w:val="0"/>
                <w:sz w:val="22"/>
                <w:szCs w:val="22"/>
                <w:lang w:eastAsia="zh-CN" w:bidi="ar"/>
              </w:rPr>
              <w:t>⑤</w:t>
            </w:r>
            <w:r>
              <w:rPr>
                <w:rFonts w:hint="eastAsia" w:ascii="Times New Roman" w:hAnsi="Times New Roman" w:eastAsia="宋体" w:cs="Times New Roman"/>
                <w:color w:val="000000"/>
                <w:kern w:val="0"/>
                <w:sz w:val="22"/>
                <w:szCs w:val="22"/>
                <w:lang w:val="en-US" w:eastAsia="zh-CN" w:bidi="ar"/>
              </w:rPr>
              <w:t>实施组织与进度安排</w:t>
            </w:r>
            <w:r>
              <w:rPr>
                <w:rFonts w:hint="default" w:ascii="Times New Roman" w:hAnsi="Times New Roman" w:cs="Times New Roman"/>
                <w:color w:val="000000"/>
                <w:kern w:val="0"/>
                <w:sz w:val="22"/>
                <w:szCs w:val="22"/>
                <w:lang w:eastAsia="zh-CN" w:bidi="ar"/>
              </w:rPr>
              <w:t>及</w:t>
            </w:r>
            <w:r>
              <w:rPr>
                <w:rFonts w:hint="eastAsia" w:ascii="Times New Roman" w:hAnsi="Times New Roman" w:eastAsia="宋体" w:cs="Times New Roman"/>
                <w:color w:val="000000"/>
                <w:kern w:val="0"/>
                <w:sz w:val="22"/>
                <w:szCs w:val="22"/>
                <w:lang w:val="en-US" w:eastAsia="zh-CN" w:bidi="ar"/>
              </w:rPr>
              <w:t>项目预期成效等；以上方案内容完整、全面、符合本项目实际的得</w:t>
            </w:r>
            <w:r>
              <w:rPr>
                <w:rFonts w:hint="default" w:ascii="Times New Roman" w:hAnsi="Times New Roman" w:eastAsia="宋体" w:cs="Times New Roman"/>
                <w:color w:val="000000"/>
                <w:kern w:val="0"/>
                <w:sz w:val="22"/>
                <w:szCs w:val="22"/>
                <w:lang w:val="en-US" w:eastAsia="zh-CN" w:bidi="ar"/>
              </w:rPr>
              <w:t>40</w:t>
            </w:r>
            <w:r>
              <w:rPr>
                <w:rFonts w:hint="eastAsia" w:ascii="Times New Roman" w:hAnsi="Times New Roman" w:eastAsia="宋体" w:cs="Times New Roman"/>
                <w:color w:val="000000"/>
                <w:kern w:val="0"/>
                <w:sz w:val="22"/>
                <w:szCs w:val="22"/>
                <w:lang w:val="en-US" w:eastAsia="zh-CN" w:bidi="ar"/>
              </w:rPr>
              <w:t>分，每缺一项扣</w:t>
            </w:r>
            <w:r>
              <w:rPr>
                <w:rFonts w:hint="default" w:ascii="Times New Roman" w:hAnsi="Times New Roman" w:cs="Times New Roman"/>
                <w:color w:val="000000"/>
                <w:kern w:val="0"/>
                <w:sz w:val="22"/>
                <w:szCs w:val="22"/>
                <w:lang w:eastAsia="zh-CN" w:bidi="ar"/>
              </w:rPr>
              <w:t>8</w:t>
            </w:r>
            <w:r>
              <w:rPr>
                <w:rFonts w:hint="eastAsia" w:ascii="Times New Roman" w:hAnsi="Times New Roman" w:eastAsia="宋体" w:cs="Times New Roman"/>
                <w:color w:val="000000"/>
                <w:kern w:val="0"/>
                <w:sz w:val="22"/>
                <w:szCs w:val="22"/>
                <w:lang w:val="en-US" w:eastAsia="zh-CN" w:bidi="ar"/>
              </w:rPr>
              <w:t>分，方案每具有一处存在错误或瑕疵的扣</w:t>
            </w:r>
            <w:r>
              <w:rPr>
                <w:rFonts w:hint="default" w:ascii="Times New Roman" w:hAnsi="Times New Roman" w:eastAsia="宋体" w:cs="Times New Roman"/>
                <w:color w:val="000000"/>
                <w:kern w:val="0"/>
                <w:sz w:val="22"/>
                <w:szCs w:val="22"/>
                <w:lang w:val="en-US" w:eastAsia="zh-CN" w:bidi="ar"/>
              </w:rPr>
              <w:t>2</w:t>
            </w:r>
            <w:r>
              <w:rPr>
                <w:rFonts w:hint="eastAsia" w:ascii="Times New Roman" w:hAnsi="Times New Roman" w:eastAsia="宋体" w:cs="Times New Roman"/>
                <w:color w:val="000000"/>
                <w:kern w:val="0"/>
                <w:sz w:val="22"/>
                <w:szCs w:val="22"/>
                <w:lang w:val="en-US" w:eastAsia="zh-CN" w:bidi="ar"/>
              </w:rPr>
              <w:t>分，直至该项分值扣完为止。注：本项所述错误是指：项目名称、实施地点、时间、涉及的规范、标准与本项目要求不一致；瑕疵是指：套用其他项目方案、内容阐述与实际情况不符、存在与本项目无关的内容描述或内容前后不一致、矛盾或不符合采购实际需求等。</w:t>
            </w:r>
          </w:p>
        </w:tc>
        <w:tc>
          <w:tcPr>
            <w:tcW w:w="1386" w:type="dxa"/>
            <w:noWrap w:val="0"/>
            <w:vAlign w:val="center"/>
          </w:tcPr>
          <w:p>
            <w:pPr>
              <w:widowControl/>
              <w:spacing w:line="300" w:lineRule="auto"/>
              <w:ind w:firstLine="420"/>
              <w:jc w:val="left"/>
              <w:rPr>
                <w:rFonts w:hint="default" w:ascii="Times New Roman" w:hAnsi="Times New Roman" w:eastAsia="宋体" w:cs="Times New Roman"/>
                <w:b w:val="0"/>
                <w:bCs w:val="0"/>
                <w:color w:val="000000"/>
                <w:kern w:val="0"/>
                <w:sz w:val="22"/>
                <w:szCs w:val="22"/>
                <w:vertAlign w:val="baseline"/>
                <w:lang w:val="en-US" w:eastAsia="zh-CN"/>
              </w:rPr>
            </w:pPr>
            <w:r>
              <w:rPr>
                <w:rFonts w:hint="default" w:ascii="Times New Roman" w:hAnsi="Times New Roman" w:cs="Times New Roman"/>
                <w:b w:val="0"/>
                <w:bCs w:val="0"/>
                <w:color w:val="000000"/>
                <w:kern w:val="0"/>
                <w:sz w:val="22"/>
                <w:szCs w:val="22"/>
                <w:vertAlign w:val="baseline"/>
                <w:lang w:val="en-US" w:eastAsia="zh-CN"/>
              </w:rPr>
              <w:t>40</w:t>
            </w:r>
          </w:p>
        </w:tc>
      </w:tr>
    </w:tbl>
    <w:p>
      <w:pPr>
        <w:pStyle w:val="3"/>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default" w:ascii="Times New Roman" w:hAnsi="Times New Roman" w:eastAsia="黑体" w:cs="Times New Roman"/>
          <w:b w:val="0"/>
          <w:bCs w:val="0"/>
          <w:color w:val="464646"/>
          <w:sz w:val="32"/>
          <w:szCs w:val="32"/>
        </w:rPr>
      </w:pPr>
      <w:r>
        <w:rPr>
          <w:rFonts w:hint="default" w:ascii="Times New Roman" w:hAnsi="Times New Roman" w:eastAsia="黑体" w:cs="Times New Roman"/>
          <w:b w:val="0"/>
          <w:bCs w:val="0"/>
          <w:color w:val="464646"/>
          <w:sz w:val="32"/>
          <w:szCs w:val="32"/>
          <w:lang w:val="en-US" w:eastAsia="zh-CN"/>
        </w:rPr>
        <w:t>九</w:t>
      </w:r>
      <w:r>
        <w:rPr>
          <w:rFonts w:hint="default" w:ascii="Times New Roman" w:hAnsi="Times New Roman" w:eastAsia="黑体" w:cs="Times New Roman"/>
          <w:b w:val="0"/>
          <w:bCs w:val="0"/>
          <w:color w:val="464646"/>
          <w:sz w:val="32"/>
          <w:szCs w:val="32"/>
        </w:rPr>
        <w:t>、</w:t>
      </w:r>
      <w:r>
        <w:rPr>
          <w:rStyle w:val="17"/>
          <w:rFonts w:hint="default" w:ascii="Times New Roman" w:hAnsi="Times New Roman" w:eastAsia="黑体" w:cs="Times New Roman"/>
          <w:b w:val="0"/>
          <w:bCs/>
          <w:i w:val="0"/>
          <w:caps w:val="0"/>
          <w:color w:val="383838"/>
          <w:spacing w:val="0"/>
          <w:sz w:val="32"/>
          <w:szCs w:val="32"/>
          <w:shd w:val="clear" w:color="auto" w:fill="FFFFFF"/>
          <w:vertAlign w:val="baseline"/>
          <w:lang w:val="en" w:eastAsia="zh-CN"/>
        </w:rPr>
        <w:t>合同履行周期</w:t>
      </w:r>
    </w:p>
    <w:p>
      <w:pPr>
        <w:pStyle w:val="3"/>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default" w:ascii="Times New Roman" w:hAnsi="Times New Roman" w:eastAsia="黑体" w:cs="Times New Roman"/>
          <w:b w:val="0"/>
          <w:bCs w:val="0"/>
          <w:color w:val="464646"/>
          <w:sz w:val="32"/>
          <w:szCs w:val="32"/>
          <w:lang w:eastAsia="zh-CN"/>
        </w:rPr>
      </w:pPr>
      <w:r>
        <w:rPr>
          <w:rFonts w:hint="default" w:ascii="Times New Roman" w:hAnsi="Times New Roman" w:eastAsia="仿宋_GB2312" w:cs="Times New Roman"/>
          <w:b w:val="0"/>
          <w:bCs w:val="0"/>
          <w:kern w:val="2"/>
          <w:sz w:val="32"/>
          <w:szCs w:val="32"/>
          <w:lang w:val="en-US" w:eastAsia="zh-CN" w:bidi="ar-SA"/>
        </w:rPr>
        <w:t xml:space="preserve"> 本次采购项目的合同履行周期自合同签订之日起为期一年，供应商需在此期限内完成本方案的所有要求并确保质量。</w:t>
      </w:r>
    </w:p>
    <w:p>
      <w:pPr>
        <w:pStyle w:val="3"/>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default" w:ascii="Times New Roman" w:hAnsi="Times New Roman" w:eastAsia="黑体" w:cs="Times New Roman"/>
          <w:b w:val="0"/>
          <w:bCs w:val="0"/>
          <w:color w:val="464646"/>
          <w:sz w:val="32"/>
          <w:szCs w:val="32"/>
        </w:rPr>
      </w:pPr>
      <w:r>
        <w:rPr>
          <w:rFonts w:hint="default" w:ascii="Times New Roman" w:hAnsi="Times New Roman" w:eastAsia="黑体" w:cs="Times New Roman"/>
          <w:b w:val="0"/>
          <w:bCs w:val="0"/>
          <w:color w:val="464646"/>
          <w:sz w:val="32"/>
          <w:szCs w:val="32"/>
          <w:lang w:eastAsia="zh-CN"/>
        </w:rPr>
        <w:t>十、</w:t>
      </w:r>
      <w:r>
        <w:rPr>
          <w:rFonts w:hint="default" w:ascii="Times New Roman" w:hAnsi="Times New Roman" w:eastAsia="黑体" w:cs="Times New Roman"/>
          <w:b w:val="0"/>
          <w:bCs w:val="0"/>
          <w:color w:val="464646"/>
          <w:sz w:val="32"/>
          <w:szCs w:val="32"/>
        </w:rPr>
        <w:t>获取采购文件及报价文件提交</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FF0000"/>
          <w:sz w:val="32"/>
          <w:szCs w:val="32"/>
        </w:rPr>
      </w:pPr>
      <w:r>
        <w:rPr>
          <w:rFonts w:hint="default" w:ascii="Times New Roman" w:hAnsi="Times New Roman" w:eastAsia="仿宋_GB2312" w:cs="Times New Roman"/>
          <w:b w:val="0"/>
          <w:bCs w:val="0"/>
          <w:color w:val="000000"/>
          <w:sz w:val="32"/>
          <w:szCs w:val="32"/>
        </w:rPr>
        <w:t>获取采购文件：见</w:t>
      </w:r>
      <w:r>
        <w:rPr>
          <w:rFonts w:hint="default" w:ascii="Times New Roman" w:hAnsi="Times New Roman" w:eastAsia="仿宋_GB2312" w:cs="Times New Roman"/>
          <w:b w:val="0"/>
          <w:bCs w:val="0"/>
          <w:color w:val="000000"/>
          <w:sz w:val="32"/>
          <w:szCs w:val="32"/>
          <w:lang w:eastAsia="zh-CN"/>
        </w:rPr>
        <w:t>磋商</w:t>
      </w:r>
      <w:r>
        <w:rPr>
          <w:rFonts w:hint="default" w:ascii="Times New Roman" w:hAnsi="Times New Roman" w:eastAsia="仿宋_GB2312" w:cs="Times New Roman"/>
          <w:b w:val="0"/>
          <w:bCs w:val="0"/>
          <w:color w:val="000000"/>
          <w:sz w:val="32"/>
          <w:szCs w:val="32"/>
        </w:rPr>
        <w:t>邀请函附件</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default" w:ascii="Times New Roman" w:hAnsi="Times New Roman" w:eastAsia="仿宋_GB2312" w:cs="Times New Roman"/>
          <w:b w:val="0"/>
          <w:bCs w:val="0"/>
          <w:sz w:val="32"/>
          <w:szCs w:val="32"/>
          <w:lang w:val="en"/>
        </w:rPr>
      </w:pPr>
      <w:r>
        <w:rPr>
          <w:rFonts w:hint="default" w:ascii="Times New Roman" w:hAnsi="Times New Roman" w:eastAsia="仿宋_GB2312" w:cs="Times New Roman"/>
          <w:b w:val="0"/>
          <w:bCs w:val="0"/>
          <w:sz w:val="32"/>
          <w:szCs w:val="32"/>
        </w:rPr>
        <w:t>报价文件有效期：自报价文件开启之日起</w:t>
      </w:r>
      <w:r>
        <w:rPr>
          <w:rFonts w:hint="default" w:ascii="Times New Roman" w:hAnsi="Times New Roman" w:eastAsia="仿宋_GB2312" w:cs="Times New Roman"/>
          <w:b w:val="0"/>
          <w:bCs w:val="0"/>
          <w:sz w:val="32"/>
          <w:szCs w:val="32"/>
          <w:lang w:val="en"/>
        </w:rPr>
        <w:t>30</w:t>
      </w:r>
      <w:r>
        <w:rPr>
          <w:rFonts w:hint="default" w:ascii="Times New Roman" w:hAnsi="Times New Roman" w:eastAsia="仿宋_GB2312" w:cs="Times New Roman"/>
          <w:b w:val="0"/>
          <w:bCs w:val="0"/>
          <w:sz w:val="32"/>
          <w:szCs w:val="32"/>
        </w:rPr>
        <w:t>天</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报价文件份数：</w:t>
      </w:r>
      <w:r>
        <w:rPr>
          <w:rFonts w:hint="default" w:ascii="Times New Roman" w:hAnsi="Times New Roman" w:eastAsia="仿宋_GB2312"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lang w:val="en"/>
        </w:rPr>
        <w:t>份</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 xml:space="preserve">提交方式 ：现场递交 </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采购人：三亚市旅游和文化广电体育局</w:t>
      </w:r>
    </w:p>
    <w:p>
      <w:pPr>
        <w:keepNext w:val="0"/>
        <w:keepLines w:val="0"/>
        <w:widowControl/>
        <w:suppressLineNumbers w:val="0"/>
        <w:jc w:val="lef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地址：</w:t>
      </w:r>
      <w:r>
        <w:rPr>
          <w:rFonts w:hint="default" w:ascii="Times New Roman" w:hAnsi="Times New Roman" w:eastAsia="仿宋_GB2312" w:cs="Times New Roman"/>
          <w:b w:val="0"/>
          <w:bCs w:val="0"/>
          <w:color w:val="000000"/>
          <w:kern w:val="2"/>
          <w:sz w:val="32"/>
          <w:szCs w:val="32"/>
          <w:lang w:val="en-US" w:eastAsia="zh-CN" w:bidi="ar-SA"/>
        </w:rPr>
        <w:t>三亚市吉阳区东岸一路旅文三亚总部港A2栋8层2号会议室</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联系人：</w:t>
      </w:r>
      <w:r>
        <w:rPr>
          <w:rFonts w:hint="default" w:ascii="Times New Roman" w:hAnsi="Times New Roman" w:eastAsia="仿宋_GB2312" w:cs="Times New Roman"/>
          <w:b w:val="0"/>
          <w:bCs w:val="0"/>
          <w:color w:val="000000"/>
          <w:sz w:val="32"/>
          <w:szCs w:val="32"/>
          <w:lang w:val="en" w:eastAsia="zh-CN"/>
        </w:rPr>
        <w:t>何</w:t>
      </w:r>
      <w:r>
        <w:rPr>
          <w:rFonts w:hint="default" w:ascii="Times New Roman" w:hAnsi="Times New Roman" w:eastAsia="仿宋_GB2312" w:cs="Times New Roman"/>
          <w:b w:val="0"/>
          <w:bCs w:val="0"/>
          <w:color w:val="000000"/>
          <w:sz w:val="32"/>
          <w:szCs w:val="32"/>
          <w:lang w:val="en-US" w:eastAsia="zh-CN"/>
        </w:rPr>
        <w:t>先生</w:t>
      </w:r>
      <w:r>
        <w:rPr>
          <w:rFonts w:hint="default" w:ascii="Times New Roman" w:hAnsi="Times New Roman" w:eastAsia="仿宋_GB2312" w:cs="Times New Roman"/>
          <w:b w:val="0"/>
          <w:bCs w:val="0"/>
          <w:color w:val="000000"/>
          <w:sz w:val="32"/>
          <w:szCs w:val="32"/>
        </w:rPr>
        <w:t>，电话：88</w:t>
      </w:r>
      <w:r>
        <w:rPr>
          <w:rFonts w:hint="default" w:ascii="Times New Roman" w:hAnsi="Times New Roman" w:eastAsia="仿宋_GB2312" w:cs="Times New Roman"/>
          <w:b w:val="0"/>
          <w:bCs w:val="0"/>
          <w:color w:val="000000"/>
          <w:sz w:val="32"/>
          <w:szCs w:val="32"/>
          <w:lang w:val="en-US" w:eastAsia="zh-CN"/>
        </w:rPr>
        <w:t>281937</w:t>
      </w:r>
    </w:p>
    <w:p>
      <w:pPr>
        <w:ind w:firstLine="640" w:firstLineChars="2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sz w:val="32"/>
          <w:szCs w:val="32"/>
        </w:rPr>
        <w:t>各单位</w:t>
      </w:r>
      <w:r>
        <w:rPr>
          <w:rFonts w:hint="default" w:ascii="Times New Roman" w:hAnsi="Times New Roman" w:eastAsia="仿宋_GB2312" w:cs="Times New Roman"/>
          <w:b w:val="0"/>
          <w:bCs w:val="0"/>
          <w:sz w:val="32"/>
          <w:szCs w:val="32"/>
          <w:lang w:val="en-US" w:eastAsia="zh-CN"/>
        </w:rPr>
        <w:t>竞争性磋商</w:t>
      </w:r>
      <w:r>
        <w:rPr>
          <w:rFonts w:hint="default" w:ascii="Times New Roman" w:hAnsi="Times New Roman" w:eastAsia="仿宋_GB2312" w:cs="Times New Roman"/>
          <w:b w:val="0"/>
          <w:bCs w:val="0"/>
          <w:sz w:val="32"/>
          <w:szCs w:val="32"/>
        </w:rPr>
        <w:t>文件由单位自行保管</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密封）</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磋商</w:t>
      </w:r>
      <w:r>
        <w:rPr>
          <w:rFonts w:hint="default" w:ascii="Times New Roman" w:hAnsi="Times New Roman" w:eastAsia="仿宋_GB2312" w:cs="Times New Roman"/>
          <w:b w:val="0"/>
          <w:bCs w:val="0"/>
          <w:sz w:val="32"/>
          <w:szCs w:val="32"/>
        </w:rPr>
        <w:t>当日在现场打开，无需提前递交。</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right"/>
        <w:rPr>
          <w:rFonts w:hint="default" w:ascii="Times New Roman" w:hAnsi="Times New Roman" w:eastAsia="仿宋_GB2312" w:cs="Times New Roman"/>
          <w:b w:val="0"/>
          <w:bCs w:val="0"/>
          <w:color w:val="000000"/>
          <w:sz w:val="32"/>
          <w:szCs w:val="32"/>
          <w:lang w:eastAsia="zh-CN"/>
        </w:rPr>
      </w:pPr>
    </w:p>
    <w:p>
      <w:pPr>
        <w:rPr>
          <w:rFonts w:hint="default"/>
          <w:lang w:eastAsia="zh-CN"/>
        </w:rPr>
      </w:pPr>
      <w:bookmarkStart w:id="0" w:name="_GoBack"/>
      <w:bookmarkEnd w:id="0"/>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right"/>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三亚市旅游和文化广电体育局</w:t>
      </w:r>
    </w:p>
    <w:p>
      <w:pPr>
        <w:jc w:val="center"/>
        <w:rPr>
          <w:rFonts w:hint="default" w:ascii="Times New Roman" w:hAnsi="Times New Roman" w:eastAsia="仿宋_GB2312" w:cs="Times New Roman"/>
          <w:b w:val="0"/>
          <w:bCs w:val="0"/>
          <w:color w:val="000000"/>
          <w:sz w:val="15"/>
          <w:szCs w:val="15"/>
          <w:lang w:val="en-US" w:eastAsia="zh-CN"/>
        </w:rPr>
      </w:pPr>
      <w:r>
        <w:rPr>
          <w:rFonts w:hint="default" w:ascii="Times New Roman" w:hAnsi="Times New Roman" w:eastAsia="仿宋_GB2312" w:cs="Times New Roman"/>
          <w:b w:val="0"/>
          <w:bCs w:val="0"/>
          <w:color w:val="000000"/>
          <w:sz w:val="32"/>
          <w:szCs w:val="32"/>
          <w:lang w:val="en-US" w:eastAsia="zh-CN"/>
        </w:rPr>
        <w:t xml:space="preserve">                               2026年7月</w:t>
      </w:r>
      <w:r>
        <w:rPr>
          <w:rFonts w:hint="default" w:ascii="Times New Roman" w:hAnsi="Times New Roman" w:eastAsia="仿宋_GB2312" w:cs="Times New Roman"/>
          <w:b w:val="0"/>
          <w:bCs w:val="0"/>
          <w:color w:val="000000"/>
          <w:sz w:val="32"/>
          <w:szCs w:val="32"/>
          <w:lang w:eastAsia="zh-CN"/>
        </w:rPr>
        <w:t>15</w:t>
      </w:r>
      <w:r>
        <w:rPr>
          <w:rFonts w:hint="default" w:ascii="Times New Roman" w:hAnsi="Times New Roman" w:eastAsia="仿宋_GB2312" w:cs="Times New Roman"/>
          <w:b w:val="0"/>
          <w:bCs w:val="0"/>
          <w:color w:val="000000"/>
          <w:sz w:val="32"/>
          <w:szCs w:val="32"/>
          <w:lang w:val="en-US" w:eastAsia="zh-CN"/>
        </w:rPr>
        <w:t>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ZDFlNDQ1ZGY3MTVkNDc5ODAwNTVkNThmOGU0YzIifQ=="/>
  </w:docVars>
  <w:rsids>
    <w:rsidRoot w:val="00000000"/>
    <w:rsid w:val="00CF110C"/>
    <w:rsid w:val="01527F71"/>
    <w:rsid w:val="023512AC"/>
    <w:rsid w:val="025B5D93"/>
    <w:rsid w:val="02A132FE"/>
    <w:rsid w:val="02A520E6"/>
    <w:rsid w:val="030D0734"/>
    <w:rsid w:val="03333E7A"/>
    <w:rsid w:val="03745DC1"/>
    <w:rsid w:val="03A05652"/>
    <w:rsid w:val="03D53D87"/>
    <w:rsid w:val="041E4ABF"/>
    <w:rsid w:val="04826D2E"/>
    <w:rsid w:val="04D55AE8"/>
    <w:rsid w:val="05A625A8"/>
    <w:rsid w:val="05BD6056"/>
    <w:rsid w:val="065A7757"/>
    <w:rsid w:val="066300E8"/>
    <w:rsid w:val="07825D59"/>
    <w:rsid w:val="07983E97"/>
    <w:rsid w:val="07F4BE29"/>
    <w:rsid w:val="083A2C5B"/>
    <w:rsid w:val="087A797A"/>
    <w:rsid w:val="0A652A31"/>
    <w:rsid w:val="0BD27AA6"/>
    <w:rsid w:val="0BED0FC6"/>
    <w:rsid w:val="0C0E5430"/>
    <w:rsid w:val="1061656C"/>
    <w:rsid w:val="112D5510"/>
    <w:rsid w:val="11BF1A3D"/>
    <w:rsid w:val="122861C8"/>
    <w:rsid w:val="12E2404E"/>
    <w:rsid w:val="12EC0194"/>
    <w:rsid w:val="137C3A6B"/>
    <w:rsid w:val="13AF2F6F"/>
    <w:rsid w:val="144E4761"/>
    <w:rsid w:val="15A765F4"/>
    <w:rsid w:val="15FF152C"/>
    <w:rsid w:val="16635AB1"/>
    <w:rsid w:val="16A56688"/>
    <w:rsid w:val="16FC64CC"/>
    <w:rsid w:val="17855928"/>
    <w:rsid w:val="178564C1"/>
    <w:rsid w:val="17ED5B94"/>
    <w:rsid w:val="17F92CF0"/>
    <w:rsid w:val="181B501A"/>
    <w:rsid w:val="19305C51"/>
    <w:rsid w:val="19813C3F"/>
    <w:rsid w:val="19C5656E"/>
    <w:rsid w:val="1A78612C"/>
    <w:rsid w:val="1B1EE041"/>
    <w:rsid w:val="1BFB057C"/>
    <w:rsid w:val="1C2D6E04"/>
    <w:rsid w:val="1CBD1F32"/>
    <w:rsid w:val="1CD001DE"/>
    <w:rsid w:val="1E7D162C"/>
    <w:rsid w:val="1F6A3A8D"/>
    <w:rsid w:val="1FFC8B35"/>
    <w:rsid w:val="200A1FE3"/>
    <w:rsid w:val="2015151B"/>
    <w:rsid w:val="20832DF2"/>
    <w:rsid w:val="21696064"/>
    <w:rsid w:val="226F199F"/>
    <w:rsid w:val="229032BB"/>
    <w:rsid w:val="22F81ACF"/>
    <w:rsid w:val="231B0D32"/>
    <w:rsid w:val="254554E2"/>
    <w:rsid w:val="256C3DC1"/>
    <w:rsid w:val="25EF3DCB"/>
    <w:rsid w:val="26005C42"/>
    <w:rsid w:val="26812549"/>
    <w:rsid w:val="26C3146C"/>
    <w:rsid w:val="272975CD"/>
    <w:rsid w:val="275B367B"/>
    <w:rsid w:val="277D5D97"/>
    <w:rsid w:val="282B6C11"/>
    <w:rsid w:val="29E27F3C"/>
    <w:rsid w:val="2BBA1F9C"/>
    <w:rsid w:val="2C0C6A9D"/>
    <w:rsid w:val="2D3E5731"/>
    <w:rsid w:val="2DA65F86"/>
    <w:rsid w:val="2F5155A1"/>
    <w:rsid w:val="2F8B3EB0"/>
    <w:rsid w:val="301E2654"/>
    <w:rsid w:val="30226E54"/>
    <w:rsid w:val="30822B39"/>
    <w:rsid w:val="30E42336"/>
    <w:rsid w:val="30F81DDE"/>
    <w:rsid w:val="31E2782A"/>
    <w:rsid w:val="31F07456"/>
    <w:rsid w:val="34B75E2D"/>
    <w:rsid w:val="353F6BC5"/>
    <w:rsid w:val="35EF7152"/>
    <w:rsid w:val="36734E67"/>
    <w:rsid w:val="367A7548"/>
    <w:rsid w:val="370A5E1F"/>
    <w:rsid w:val="37A91900"/>
    <w:rsid w:val="37D86499"/>
    <w:rsid w:val="38BA0739"/>
    <w:rsid w:val="397A08A5"/>
    <w:rsid w:val="3B3C37B7"/>
    <w:rsid w:val="3B844130"/>
    <w:rsid w:val="3BE40322"/>
    <w:rsid w:val="3D88145B"/>
    <w:rsid w:val="3E2D328B"/>
    <w:rsid w:val="3EAB0813"/>
    <w:rsid w:val="3F7DC012"/>
    <w:rsid w:val="3F7E818D"/>
    <w:rsid w:val="424D5A51"/>
    <w:rsid w:val="42504B90"/>
    <w:rsid w:val="42843399"/>
    <w:rsid w:val="43B126E2"/>
    <w:rsid w:val="45305DA3"/>
    <w:rsid w:val="45BF20C6"/>
    <w:rsid w:val="460F3276"/>
    <w:rsid w:val="46472A10"/>
    <w:rsid w:val="497342EF"/>
    <w:rsid w:val="49F60938"/>
    <w:rsid w:val="4BD061D0"/>
    <w:rsid w:val="4BE95FB3"/>
    <w:rsid w:val="4D100B4F"/>
    <w:rsid w:val="4DC3409B"/>
    <w:rsid w:val="4E544B2E"/>
    <w:rsid w:val="4E546612"/>
    <w:rsid w:val="4F2E0A82"/>
    <w:rsid w:val="4F6BF4FC"/>
    <w:rsid w:val="4F964A80"/>
    <w:rsid w:val="50937803"/>
    <w:rsid w:val="51633CE1"/>
    <w:rsid w:val="5263201F"/>
    <w:rsid w:val="52C378C2"/>
    <w:rsid w:val="53620E89"/>
    <w:rsid w:val="547D05BF"/>
    <w:rsid w:val="54D83FF4"/>
    <w:rsid w:val="5516263C"/>
    <w:rsid w:val="59297C8A"/>
    <w:rsid w:val="592D3DE7"/>
    <w:rsid w:val="5A3D0D14"/>
    <w:rsid w:val="5AF20F7A"/>
    <w:rsid w:val="5B5F4091"/>
    <w:rsid w:val="5BC86C25"/>
    <w:rsid w:val="5C017D92"/>
    <w:rsid w:val="5D731E72"/>
    <w:rsid w:val="5D872DC4"/>
    <w:rsid w:val="5E7B47C0"/>
    <w:rsid w:val="5EFE05F4"/>
    <w:rsid w:val="5FBB278F"/>
    <w:rsid w:val="5FE7362F"/>
    <w:rsid w:val="600F6C40"/>
    <w:rsid w:val="610417D1"/>
    <w:rsid w:val="62471D3E"/>
    <w:rsid w:val="630263D7"/>
    <w:rsid w:val="635A5B72"/>
    <w:rsid w:val="63953FA2"/>
    <w:rsid w:val="63954399"/>
    <w:rsid w:val="64034EC5"/>
    <w:rsid w:val="641B7951"/>
    <w:rsid w:val="64306D81"/>
    <w:rsid w:val="658C6239"/>
    <w:rsid w:val="6607061E"/>
    <w:rsid w:val="67738A47"/>
    <w:rsid w:val="67A640D2"/>
    <w:rsid w:val="68A56BE1"/>
    <w:rsid w:val="68DA1544"/>
    <w:rsid w:val="690E69A2"/>
    <w:rsid w:val="69437E41"/>
    <w:rsid w:val="6A740403"/>
    <w:rsid w:val="6B052831"/>
    <w:rsid w:val="6BB474BD"/>
    <w:rsid w:val="6CCB047D"/>
    <w:rsid w:val="6CF21078"/>
    <w:rsid w:val="6D1D02B2"/>
    <w:rsid w:val="6D2E4BAB"/>
    <w:rsid w:val="6F60676D"/>
    <w:rsid w:val="70137154"/>
    <w:rsid w:val="70BF93C3"/>
    <w:rsid w:val="70D71700"/>
    <w:rsid w:val="70EF6DAB"/>
    <w:rsid w:val="71494FDF"/>
    <w:rsid w:val="71E25DFB"/>
    <w:rsid w:val="7254593A"/>
    <w:rsid w:val="72FD4546"/>
    <w:rsid w:val="7450329B"/>
    <w:rsid w:val="745B26A4"/>
    <w:rsid w:val="74AA1EDD"/>
    <w:rsid w:val="754EF888"/>
    <w:rsid w:val="764A25DE"/>
    <w:rsid w:val="76592168"/>
    <w:rsid w:val="770164D0"/>
    <w:rsid w:val="772616E6"/>
    <w:rsid w:val="77EA6BD9"/>
    <w:rsid w:val="78350E30"/>
    <w:rsid w:val="79211F6A"/>
    <w:rsid w:val="7AC758F2"/>
    <w:rsid w:val="7ACD0A2E"/>
    <w:rsid w:val="7AD5B05D"/>
    <w:rsid w:val="7B5D8EE9"/>
    <w:rsid w:val="7BD81903"/>
    <w:rsid w:val="7C152881"/>
    <w:rsid w:val="7D0A7D18"/>
    <w:rsid w:val="7DD520D4"/>
    <w:rsid w:val="7DEF01F0"/>
    <w:rsid w:val="7E4B2893"/>
    <w:rsid w:val="7E7F2881"/>
    <w:rsid w:val="7EBD4ECF"/>
    <w:rsid w:val="7ED9319D"/>
    <w:rsid w:val="7EEF6BA4"/>
    <w:rsid w:val="7F320297"/>
    <w:rsid w:val="7F3EBD5D"/>
    <w:rsid w:val="9E3D4CB6"/>
    <w:rsid w:val="9FFEF4FE"/>
    <w:rsid w:val="AEFF5D38"/>
    <w:rsid w:val="BE9D93D1"/>
    <w:rsid w:val="BF4FF6F6"/>
    <w:rsid w:val="D97F5D76"/>
    <w:rsid w:val="DEFD6B24"/>
    <w:rsid w:val="DF7C8F48"/>
    <w:rsid w:val="ECAE8611"/>
    <w:rsid w:val="EDE19521"/>
    <w:rsid w:val="F5F7DF98"/>
    <w:rsid w:val="F93F6F4C"/>
    <w:rsid w:val="FB3D3C7A"/>
    <w:rsid w:val="FBF0E871"/>
    <w:rsid w:val="FCE646F3"/>
    <w:rsid w:val="FD7B30A3"/>
    <w:rsid w:val="FDABA8D4"/>
    <w:rsid w:val="FF37B456"/>
    <w:rsid w:val="FF7E703C"/>
    <w:rsid w:val="FF8F17B3"/>
    <w:rsid w:val="FFB78FEA"/>
    <w:rsid w:val="FFFD3F6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ind w:left="1469"/>
      <w:outlineLvl w:val="0"/>
    </w:pPr>
    <w:rPr>
      <w:rFonts w:ascii="宋体" w:hAnsi="宋体" w:eastAsia="宋体" w:cs="宋体"/>
      <w:sz w:val="31"/>
      <w:szCs w:val="31"/>
    </w:rPr>
  </w:style>
  <w:style w:type="paragraph" w:styleId="4">
    <w:name w:val="heading 2"/>
    <w:basedOn w:val="1"/>
    <w:next w:val="1"/>
    <w:qFormat/>
    <w:uiPriority w:val="1"/>
    <w:pPr>
      <w:ind w:left="498" w:right="2863"/>
      <w:outlineLvl w:val="1"/>
    </w:pPr>
    <w:rPr>
      <w:rFonts w:ascii="宋体" w:hAnsi="宋体" w:eastAsia="宋体" w:cs="宋体"/>
      <w:sz w:val="29"/>
      <w:szCs w:val="29"/>
    </w:rPr>
  </w:style>
  <w:style w:type="paragraph" w:styleId="5">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Salutation"/>
    <w:basedOn w:val="1"/>
    <w:next w:val="1"/>
    <w:qFormat/>
    <w:uiPriority w:val="0"/>
    <w:rPr>
      <w:rFonts w:ascii="Times New Roman" w:hAnsi="Times New Roman" w:eastAsia="宋体" w:cs="Times New Roman"/>
    </w:rPr>
  </w:style>
  <w:style w:type="paragraph" w:styleId="7">
    <w:name w:val="Body Text"/>
    <w:basedOn w:val="1"/>
    <w:qFormat/>
    <w:uiPriority w:val="1"/>
    <w:rPr>
      <w:rFonts w:ascii="宋体" w:hAnsi="宋体" w:eastAsia="宋体" w:cs="宋体"/>
      <w:sz w:val="23"/>
      <w:szCs w:val="23"/>
    </w:rPr>
  </w:style>
  <w:style w:type="paragraph" w:styleId="8">
    <w:name w:val="Body Text Indent"/>
    <w:basedOn w:val="1"/>
    <w:qFormat/>
    <w:uiPriority w:val="0"/>
    <w:pPr>
      <w:spacing w:after="120"/>
      <w:ind w:left="420" w:leftChars="200"/>
    </w:pPr>
  </w:style>
  <w:style w:type="paragraph" w:styleId="9">
    <w:name w:val="footer"/>
    <w:basedOn w:val="1"/>
    <w:unhideWhenUsed/>
    <w:qFormat/>
    <w:uiPriority w:val="0"/>
    <w:pPr>
      <w:tabs>
        <w:tab w:val="center" w:pos="4153"/>
        <w:tab w:val="right" w:pos="8306"/>
      </w:tabs>
      <w:snapToGrid w:val="0"/>
      <w:jc w:val="left"/>
    </w:pPr>
    <w:rPr>
      <w:sz w:val="18"/>
    </w:rPr>
  </w:style>
  <w:style w:type="paragraph" w:styleId="10">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8"/>
    <w:qFormat/>
    <w:uiPriority w:val="0"/>
    <w:pPr>
      <w:ind w:firstLine="420" w:firstLineChars="200"/>
    </w:p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2479</Words>
  <Characters>2585</Characters>
  <Lines>1</Lines>
  <Paragraphs>1</Paragraphs>
  <TotalTime>1</TotalTime>
  <ScaleCrop>false</ScaleCrop>
  <LinksUpToDate>false</LinksUpToDate>
  <CharactersWithSpaces>2646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何现富</cp:lastModifiedBy>
  <dcterms:modified xsi:type="dcterms:W3CDTF">2026-07-15T08:21:41Z</dcterms:modified>
  <dc:title>三亚市文物保护单位安防建设设计方案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5933635B956B40CBA94C403FA56CCBBE_12</vt:lpwstr>
  </property>
  <property fmtid="{D5CDD505-2E9C-101B-9397-08002B2CF9AE}" pid="4" name="KSOTemplateDocerSaveRecord">
    <vt:lpwstr>eyJoZGlkIjoiZDVhZDFlNDQ1ZGY3MTVkNDc5ODAwNTVkNThmOGU0YzIiLCJ1c2VySWQiOiIxMDMyNjM0Njk5In0=</vt:lpwstr>
  </property>
</Properties>
</file>