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落笔洞遗址科学文化价值研究项目</w:t>
      </w:r>
    </w:p>
    <w:p>
      <w:pPr>
        <w:keepNext w:val="0"/>
        <w:keepLines w:val="0"/>
        <w:pageBreakBefore w:val="0"/>
        <w:kinsoku/>
        <w:wordWrap/>
        <w:overflowPunct/>
        <w:topLinePunct w:val="0"/>
        <w:autoSpaceDE/>
        <w:autoSpaceDN/>
        <w:bidi w:val="0"/>
        <w:adjustRightInd/>
        <w:snapToGrid/>
        <w:spacing w:line="578" w:lineRule="exact"/>
        <w:jc w:val="center"/>
        <w:rPr>
          <w:rFonts w:hint="eastAsia" w:ascii="方正小标宋简体" w:hAnsi="方正小标宋简体" w:eastAsia="方正小标宋简体" w:cs="方正小标宋简体"/>
          <w:sz w:val="44"/>
          <w:szCs w:val="44"/>
          <w:lang w:val="en-US"/>
        </w:rPr>
      </w:pPr>
      <w:r>
        <w:rPr>
          <w:rFonts w:hint="default" w:ascii="方正小标宋简体" w:hAnsi="方正小标宋简体" w:eastAsia="方正小标宋简体" w:cs="方正小标宋简体"/>
          <w:sz w:val="44"/>
          <w:szCs w:val="44"/>
          <w:lang w:bidi="ar"/>
        </w:rPr>
        <w:t>采购需求方案</w:t>
      </w:r>
    </w:p>
    <w:p>
      <w:pPr>
        <w:keepNext w:val="0"/>
        <w:keepLines w:val="0"/>
        <w:pageBreakBefore w:val="0"/>
        <w:kinsoku/>
        <w:wordWrap/>
        <w:overflowPunct/>
        <w:topLinePunct w:val="0"/>
        <w:autoSpaceDE/>
        <w:autoSpaceDN/>
        <w:bidi w:val="0"/>
        <w:adjustRightInd/>
        <w:snapToGrid/>
        <w:spacing w:line="579" w:lineRule="exact"/>
        <w:ind w:firstLine="640" w:firstLineChars="200"/>
        <w:jc w:val="center"/>
        <w:rPr>
          <w:rFonts w:hint="eastAsia" w:ascii="仿宋_GB2312" w:hAnsi="仿宋_GB2312" w:eastAsia="仿宋_GB2312" w:cs="仿宋_GB2312"/>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b w:val="0"/>
          <w:bCs w:val="0"/>
          <w:sz w:val="32"/>
          <w:szCs w:val="32"/>
        </w:rPr>
      </w:pPr>
      <w:r>
        <w:rPr>
          <w:rFonts w:hint="default" w:ascii="Times New Roman" w:hAnsi="Times New Roman" w:eastAsia="仿宋_GB2312" w:cs="Times New Roman"/>
          <w:sz w:val="32"/>
          <w:szCs w:val="32"/>
          <w:lang w:eastAsia="zh-CN"/>
        </w:rPr>
        <w:t>为深入挖掘其历史文化背景故事，完整梳理三亚文脉，做好</w:t>
      </w:r>
      <w:r>
        <w:rPr>
          <w:rFonts w:hint="eastAsia" w:ascii="Times New Roman" w:hAnsi="Times New Roman" w:eastAsia="仿宋_GB2312" w:cs="Times New Roman"/>
          <w:sz w:val="32"/>
          <w:szCs w:val="32"/>
          <w:lang w:eastAsia="zh-CN"/>
        </w:rPr>
        <w:t>落笔洞遗址</w:t>
      </w:r>
      <w:r>
        <w:rPr>
          <w:rFonts w:hint="default" w:ascii="Times New Roman" w:hAnsi="Times New Roman" w:eastAsia="仿宋_GB2312" w:cs="Times New Roman"/>
          <w:sz w:val="32"/>
          <w:szCs w:val="32"/>
          <w:lang w:eastAsia="zh-CN"/>
        </w:rPr>
        <w:t>摩崖石刻的保护工作和文化信息，展开类似遗址的横向交流，向社会大众充分展示落笔洞遗址的人文魅力</w:t>
      </w:r>
      <w:r>
        <w:rPr>
          <w:rFonts w:hint="eastAsia" w:ascii="Times New Roman" w:hAnsi="Times New Roman" w:eastAsia="仿宋_GB2312" w:cs="Times New Roman"/>
          <w:sz w:val="32"/>
          <w:szCs w:val="32"/>
          <w:lang w:eastAsia="zh-CN"/>
        </w:rPr>
        <w:t>，拟开展落笔洞遗址相关科学研究工作，</w:t>
      </w:r>
      <w:r>
        <w:rPr>
          <w:rFonts w:hint="eastAsia" w:ascii="仿宋_GB2312" w:hAnsi="仿宋_GB2312" w:eastAsia="仿宋_GB2312" w:cs="仿宋_GB2312"/>
          <w:b w:val="0"/>
          <w:bCs w:val="0"/>
          <w:sz w:val="32"/>
          <w:szCs w:val="32"/>
        </w:rPr>
        <w:t>现制定方案如下：</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color w:val="464646"/>
          <w:sz w:val="32"/>
          <w:szCs w:val="32"/>
        </w:rPr>
        <w:t>一</w:t>
      </w:r>
      <w:r>
        <w:rPr>
          <w:rFonts w:hint="eastAsia" w:ascii="黑体" w:hAnsi="黑体" w:eastAsia="黑体" w:cs="黑体"/>
          <w:b w:val="0"/>
          <w:bCs w:val="0"/>
          <w:color w:val="262626"/>
          <w:sz w:val="32"/>
          <w:szCs w:val="32"/>
        </w:rPr>
        <w:t>、项目名称</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落笔洞遗址科学文化价值研究项目</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rPr>
      </w:pPr>
      <w:r>
        <w:rPr>
          <w:rFonts w:hint="eastAsia" w:ascii="黑体" w:hAnsi="黑体" w:eastAsia="黑体" w:cs="黑体"/>
          <w:b w:val="0"/>
          <w:bCs w:val="0"/>
          <w:color w:val="262626"/>
          <w:sz w:val="32"/>
          <w:szCs w:val="32"/>
        </w:rPr>
        <w:t>二、采购人及采购预算金额</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采购人：三亚市旅游和文化广电体育局</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采购预算金额：¥</w:t>
      </w:r>
      <w:r>
        <w:rPr>
          <w:rFonts w:hint="eastAsia" w:ascii="仿宋_GB2312" w:hAnsi="仿宋_GB2312" w:eastAsia="仿宋_GB2312" w:cs="仿宋_GB2312"/>
          <w:b w:val="0"/>
          <w:bCs w:val="0"/>
          <w:color w:val="000000"/>
          <w:sz w:val="32"/>
          <w:szCs w:val="32"/>
          <w:u w:val="single"/>
          <w:lang w:val="en"/>
        </w:rPr>
        <w:t xml:space="preserve"> </w:t>
      </w:r>
      <w:r>
        <w:rPr>
          <w:rFonts w:hint="eastAsia" w:ascii="仿宋_GB2312" w:hAnsi="仿宋_GB2312" w:eastAsia="仿宋_GB2312" w:cs="仿宋_GB2312"/>
          <w:b w:val="0"/>
          <w:bCs w:val="0"/>
          <w:color w:val="000000"/>
          <w:sz w:val="32"/>
          <w:szCs w:val="32"/>
          <w:u w:val="single"/>
          <w:lang w:val="en-US" w:eastAsia="zh-CN"/>
        </w:rPr>
        <w:t>368500</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lang w:val="en"/>
        </w:rPr>
        <w:t>元， 最高限价为：¥</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368500</w:t>
      </w:r>
      <w:r>
        <w:rPr>
          <w:rFonts w:hint="eastAsia" w:ascii="仿宋_GB2312" w:hAnsi="仿宋_GB2312" w:eastAsia="仿宋_GB2312" w:cs="仿宋_GB2312"/>
          <w:b w:val="0"/>
          <w:bCs w:val="0"/>
          <w:color w:val="000000"/>
          <w:sz w:val="32"/>
          <w:szCs w:val="32"/>
          <w:u w:val="single"/>
          <w:lang w:val="en"/>
        </w:rPr>
        <w:t xml:space="preserve"> </w:t>
      </w:r>
      <w:r>
        <w:rPr>
          <w:rFonts w:hint="eastAsia" w:ascii="仿宋_GB2312" w:hAnsi="仿宋_GB2312" w:eastAsia="仿宋_GB2312" w:cs="仿宋_GB2312"/>
          <w:b w:val="0"/>
          <w:bCs w:val="0"/>
          <w:color w:val="000000"/>
          <w:sz w:val="32"/>
          <w:szCs w:val="32"/>
          <w:lang w:val="en"/>
        </w:rPr>
        <w:t xml:space="preserve"> 元。超出预算金额（最高限价）的报价，按无效报价处理,</w:t>
      </w:r>
      <w:r>
        <w:rPr>
          <w:rFonts w:hint="eastAsia" w:ascii="仿宋_GB2312" w:hAnsi="仿宋_GB2312" w:eastAsia="仿宋_GB2312" w:cs="仿宋_GB2312"/>
          <w:b w:val="0"/>
          <w:bCs w:val="0"/>
          <w:color w:val="000000"/>
          <w:sz w:val="32"/>
          <w:szCs w:val="32"/>
          <w:lang w:val="en" w:eastAsia="zh-CN"/>
        </w:rPr>
        <w:t>最终</w:t>
      </w:r>
      <w:r>
        <w:rPr>
          <w:rFonts w:hint="eastAsia" w:ascii="仿宋_GB2312" w:hAnsi="仿宋_GB2312" w:eastAsia="仿宋_GB2312" w:cs="仿宋_GB2312"/>
          <w:b w:val="0"/>
          <w:bCs w:val="0"/>
          <w:color w:val="000000"/>
          <w:sz w:val="32"/>
          <w:szCs w:val="32"/>
          <w:lang w:eastAsia="zh-CN"/>
        </w:rPr>
        <w:t>设计费用以</w:t>
      </w:r>
      <w:r>
        <w:rPr>
          <w:rFonts w:hint="eastAsia" w:ascii="仿宋_GB2312" w:hAnsi="仿宋_GB2312" w:eastAsia="仿宋_GB2312" w:cs="仿宋_GB2312"/>
          <w:b w:val="0"/>
          <w:bCs w:val="0"/>
          <w:color w:val="000000"/>
          <w:sz w:val="32"/>
          <w:szCs w:val="32"/>
          <w:lang w:val="en-US" w:eastAsia="zh-CN"/>
        </w:rPr>
        <w:t>财政</w:t>
      </w:r>
      <w:r>
        <w:rPr>
          <w:rFonts w:hint="eastAsia" w:ascii="仿宋_GB2312" w:hAnsi="仿宋_GB2312" w:eastAsia="仿宋_GB2312" w:cs="仿宋_GB2312"/>
          <w:b w:val="0"/>
          <w:bCs w:val="0"/>
          <w:color w:val="000000"/>
          <w:sz w:val="32"/>
          <w:szCs w:val="32"/>
          <w:lang w:eastAsia="zh-CN"/>
        </w:rPr>
        <w:t>审定</w:t>
      </w:r>
      <w:r>
        <w:rPr>
          <w:rFonts w:hint="eastAsia" w:ascii="仿宋_GB2312" w:hAnsi="仿宋_GB2312" w:eastAsia="仿宋_GB2312" w:cs="仿宋_GB2312"/>
          <w:b w:val="0"/>
          <w:bCs w:val="0"/>
          <w:color w:val="000000"/>
          <w:sz w:val="32"/>
          <w:szCs w:val="32"/>
          <w:lang w:val="en-US" w:eastAsia="zh-CN"/>
        </w:rPr>
        <w:t>金额</w:t>
      </w:r>
      <w:r>
        <w:rPr>
          <w:rFonts w:hint="eastAsia" w:ascii="仿宋_GB2312" w:hAnsi="仿宋_GB2312" w:eastAsia="仿宋_GB2312" w:cs="仿宋_GB2312"/>
          <w:b w:val="0"/>
          <w:bCs w:val="0"/>
          <w:color w:val="000000"/>
          <w:sz w:val="32"/>
          <w:szCs w:val="32"/>
          <w:lang w:eastAsia="zh-CN"/>
        </w:rPr>
        <w:t>为</w:t>
      </w:r>
      <w:r>
        <w:rPr>
          <w:rFonts w:hint="eastAsia" w:ascii="仿宋_GB2312" w:hAnsi="仿宋_GB2312" w:eastAsia="仿宋_GB2312" w:cs="仿宋_GB2312"/>
          <w:b w:val="0"/>
          <w:bCs w:val="0"/>
          <w:color w:val="000000"/>
          <w:sz w:val="32"/>
          <w:szCs w:val="32"/>
          <w:lang w:val="en-US" w:eastAsia="zh-CN"/>
        </w:rPr>
        <w:t>准</w:t>
      </w:r>
      <w:r>
        <w:rPr>
          <w:rFonts w:hint="eastAsia" w:ascii="仿宋_GB2312" w:hAnsi="仿宋_GB2312" w:eastAsia="仿宋_GB2312" w:cs="仿宋_GB2312"/>
          <w:b w:val="0"/>
          <w:bCs w:val="0"/>
          <w:color w:val="000000"/>
          <w:sz w:val="32"/>
          <w:szCs w:val="32"/>
          <w:lang w:val="e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color w:val="464646"/>
          <w:sz w:val="32"/>
          <w:szCs w:val="32"/>
        </w:rPr>
      </w:pPr>
      <w:r>
        <w:rPr>
          <w:rFonts w:hint="eastAsia" w:ascii="黑体" w:hAnsi="黑体" w:eastAsia="黑体" w:cs="黑体"/>
          <w:b w:val="0"/>
          <w:bCs w:val="0"/>
          <w:color w:val="464646"/>
          <w:sz w:val="32"/>
          <w:szCs w:val="32"/>
        </w:rPr>
        <w:t>三、采购方式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baseline"/>
        <w:rPr>
          <w:rFonts w:hint="eastAsia" w:ascii="仿宋_GB2312" w:hAnsi="仿宋_GB2312" w:eastAsia="仿宋_GB2312" w:cs="仿宋_GB2312"/>
          <w:b w:val="0"/>
          <w:bCs w:val="0"/>
          <w:color w:val="000000"/>
          <w:kern w:val="2"/>
          <w:sz w:val="32"/>
          <w:szCs w:val="32"/>
          <w:lang w:val="en" w:eastAsia="zh-CN" w:bidi="ar-SA"/>
        </w:rPr>
      </w:pPr>
      <w:r>
        <w:rPr>
          <w:rFonts w:hint="eastAsia" w:ascii="仿宋_GB2312" w:hAnsi="仿宋_GB2312" w:eastAsia="仿宋_GB2312" w:cs="仿宋_GB2312"/>
          <w:b w:val="0"/>
          <w:bCs w:val="0"/>
          <w:color w:val="000000"/>
          <w:sz w:val="32"/>
          <w:szCs w:val="32"/>
          <w:lang w:val="en"/>
        </w:rPr>
        <w:t>采购方式：</w:t>
      </w:r>
      <w:r>
        <w:rPr>
          <w:rFonts w:hint="default" w:ascii="仿宋_GB2312" w:hAnsi="仿宋_GB2312" w:eastAsia="仿宋_GB2312" w:cs="仿宋_GB2312"/>
          <w:b w:val="0"/>
          <w:bCs w:val="0"/>
          <w:color w:val="000000"/>
          <w:kern w:val="2"/>
          <w:sz w:val="32"/>
          <w:szCs w:val="32"/>
          <w:lang w:val="en" w:eastAsia="zh-CN" w:bidi="ar-SA"/>
        </w:rPr>
        <w:t>竞争性磋商</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color w:val="464646"/>
          <w:sz w:val="32"/>
          <w:szCs w:val="32"/>
        </w:rPr>
      </w:pPr>
      <w:r>
        <w:rPr>
          <w:rFonts w:hint="eastAsia" w:ascii="黑体" w:hAnsi="黑体" w:eastAsia="黑体" w:cs="黑体"/>
          <w:b w:val="0"/>
          <w:bCs w:val="0"/>
          <w:color w:val="464646"/>
          <w:sz w:val="32"/>
          <w:szCs w:val="32"/>
        </w:rPr>
        <w:t>四、项目实施地点</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三亚市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color w:val="464646"/>
          <w:sz w:val="32"/>
          <w:szCs w:val="32"/>
          <w:lang w:eastAsia="zh-CN"/>
        </w:rPr>
      </w:pPr>
      <w:r>
        <w:rPr>
          <w:rFonts w:hint="eastAsia" w:ascii="黑体" w:hAnsi="黑体" w:eastAsia="黑体" w:cs="黑体"/>
          <w:b w:val="0"/>
          <w:bCs w:val="0"/>
          <w:color w:val="464646"/>
          <w:sz w:val="32"/>
          <w:szCs w:val="32"/>
        </w:rPr>
        <w:t>五、</w:t>
      </w:r>
      <w:r>
        <w:rPr>
          <w:rFonts w:hint="eastAsia" w:ascii="黑体" w:hAnsi="黑体" w:eastAsia="黑体" w:cs="黑体"/>
          <w:b w:val="0"/>
          <w:bCs w:val="0"/>
          <w:color w:val="464646"/>
          <w:sz w:val="32"/>
          <w:szCs w:val="32"/>
          <w:lang w:val="en-US" w:eastAsia="zh-CN"/>
        </w:rPr>
        <w:t>竞争性磋商</w:t>
      </w:r>
      <w:r>
        <w:rPr>
          <w:rFonts w:hint="eastAsia" w:ascii="黑体" w:hAnsi="黑体" w:eastAsia="黑体" w:cs="黑体"/>
          <w:b w:val="0"/>
          <w:bCs w:val="0"/>
          <w:color w:val="464646"/>
          <w:sz w:val="32"/>
          <w:szCs w:val="32"/>
        </w:rPr>
        <w:t>日程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报名日期：2025年8月21日至2025年8月27日，每天上午8:00至12:00，下午3:00至6:00。</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竞争性磋商日期：</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5年8</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29日（具体时间以磋商邀请函通知为准）</w:t>
      </w:r>
      <w:r>
        <w:rPr>
          <w:rFonts w:hint="eastAsia" w:ascii="仿宋_GB2312" w:hAnsi="仿宋_GB2312" w:eastAsia="仿宋_GB2312" w:cs="仿宋_GB2312"/>
          <w:b w:val="0"/>
          <w:bCs w:val="0"/>
          <w:sz w:val="32"/>
          <w:szCs w:val="32"/>
        </w:rPr>
        <w:t>提交</w:t>
      </w:r>
      <w:r>
        <w:rPr>
          <w:rFonts w:hint="eastAsia" w:ascii="仿宋_GB2312" w:hAnsi="仿宋_GB2312" w:eastAsia="仿宋_GB2312" w:cs="仿宋_GB2312"/>
          <w:b w:val="0"/>
          <w:bCs w:val="0"/>
          <w:sz w:val="32"/>
          <w:szCs w:val="32"/>
          <w:lang w:val="en-US" w:eastAsia="zh-CN"/>
        </w:rPr>
        <w:t>磋商</w:t>
      </w:r>
      <w:r>
        <w:rPr>
          <w:rFonts w:hint="eastAsia" w:ascii="仿宋_GB2312" w:hAnsi="仿宋_GB2312" w:eastAsia="仿宋_GB2312" w:cs="仿宋_GB2312"/>
          <w:b w:val="0"/>
          <w:bCs w:val="0"/>
          <w:sz w:val="32"/>
          <w:szCs w:val="32"/>
        </w:rPr>
        <w:t>文件，现场评审，公布</w:t>
      </w:r>
      <w:r>
        <w:rPr>
          <w:rFonts w:hint="eastAsia" w:ascii="仿宋_GB2312" w:hAnsi="仿宋_GB2312" w:eastAsia="仿宋_GB2312" w:cs="仿宋_GB2312"/>
          <w:b w:val="0"/>
          <w:bCs w:val="0"/>
          <w:sz w:val="32"/>
          <w:szCs w:val="32"/>
          <w:lang w:val="en-US" w:eastAsia="zh-CN"/>
        </w:rPr>
        <w:t>磋商</w:t>
      </w:r>
      <w:r>
        <w:rPr>
          <w:rFonts w:hint="eastAsia" w:ascii="仿宋_GB2312" w:hAnsi="仿宋_GB2312" w:eastAsia="仿宋_GB2312" w:cs="仿宋_GB2312"/>
          <w:b w:val="0"/>
          <w:bCs w:val="0"/>
          <w:sz w:val="32"/>
          <w:szCs w:val="32"/>
        </w:rPr>
        <w:t>结果</w:t>
      </w:r>
      <w:r>
        <w:rPr>
          <w:rFonts w:hint="eastAsia" w:ascii="仿宋_GB2312" w:hAnsi="仿宋_GB2312" w:eastAsia="仿宋_GB2312" w:cs="仿宋_GB2312"/>
          <w:b w:val="0"/>
          <w:bCs w:val="0"/>
          <w:sz w:val="32"/>
          <w:szCs w:val="32"/>
          <w:lang w:eastAsia="zh-C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color w:val="464646"/>
          <w:sz w:val="32"/>
          <w:szCs w:val="32"/>
        </w:rPr>
      </w:pPr>
      <w:r>
        <w:rPr>
          <w:rFonts w:hint="eastAsia" w:ascii="黑体" w:hAnsi="黑体" w:eastAsia="黑体" w:cs="黑体"/>
          <w:b w:val="0"/>
          <w:bCs w:val="0"/>
          <w:color w:val="464646"/>
          <w:sz w:val="32"/>
          <w:szCs w:val="32"/>
        </w:rPr>
        <w:t>六、供应商资格要求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1.符合《政府采购法》第二十二条第一款规定的条件；</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2.在“信用中国”、“中国政府采购”网站没有列入失信被执行人、重大税收违法失信主体、政府采购严重违法失信行为记录名单的投标人（需提供发布采购文件后至响应文件递交</w:t>
      </w:r>
      <w:r>
        <w:rPr>
          <w:rFonts w:hint="eastAsia" w:ascii="仿宋_GB2312" w:hAnsi="仿宋_GB2312" w:eastAsia="仿宋_GB2312" w:cs="仿宋_GB2312"/>
          <w:b w:val="0"/>
          <w:bCs w:val="0"/>
          <w:color w:val="000000"/>
          <w:sz w:val="32"/>
          <w:szCs w:val="32"/>
          <w:lang w:eastAsia="zh-CN"/>
        </w:rPr>
        <w:t>截止时间</w:t>
      </w:r>
      <w:r>
        <w:rPr>
          <w:rFonts w:hint="eastAsia" w:ascii="仿宋_GB2312" w:hAnsi="仿宋_GB2312" w:eastAsia="仿宋_GB2312" w:cs="仿宋_GB2312"/>
          <w:b w:val="0"/>
          <w:bCs w:val="0"/>
          <w:color w:val="000000"/>
          <w:sz w:val="32"/>
          <w:szCs w:val="32"/>
        </w:rPr>
        <w:t>前的信用查询结果网页截图、信用报告并加盖单位公章）。</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3.其它要求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（1）在中华人民共和国境内注册、具有独立承担民事责任的能力（提供营业执照或事业单位法人证书）</w:t>
      </w:r>
      <w:r>
        <w:rPr>
          <w:rFonts w:hint="eastAsia" w:ascii="仿宋_GB2312" w:hAnsi="仿宋_GB2312" w:eastAsia="仿宋_GB2312" w:cs="仿宋_GB2312"/>
          <w:b w:val="0"/>
          <w:bCs w:val="0"/>
          <w:color w:val="000000"/>
          <w:sz w:val="32"/>
          <w:szCs w:val="32"/>
          <w:lang w:val="en-US" w:eastAsia="zh-C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）参加政府采购活动前三年内，在经营活动中没有重大违法记录（成立不足三年的从成立之日起计算）；</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）单位负责人或法定代表人或公司实际控制人为同一人或者存在直接控股、管理关系的不同供应商，或者构成关联企业的不同供应商，不得参加同一合同项下的采购活动。</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4.本项目不接受联合体投标。</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5.投标时必须提交以上相关证明材料。</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6.如出现下列情况之一，本次采购终止：</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（1）递交报价文件后符合资格条件的报价人（不含无效报价）不足三家的；</w:t>
      </w:r>
      <w:bookmarkStart w:id="0" w:name="_GoBack"/>
      <w:bookmarkEnd w:id="0"/>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（2）出现影响采购工作的违法、违规行为；</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（3）因出现重大变故，需调整或取消采购任务的。</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color w:val="464646"/>
          <w:sz w:val="32"/>
          <w:szCs w:val="32"/>
          <w:lang w:eastAsia="zh-CN"/>
        </w:rPr>
      </w:pPr>
      <w:r>
        <w:rPr>
          <w:rFonts w:hint="eastAsia" w:ascii="黑体" w:hAnsi="黑体" w:eastAsia="黑体" w:cs="黑体"/>
          <w:b w:val="0"/>
          <w:bCs w:val="0"/>
          <w:color w:val="464646"/>
          <w:sz w:val="32"/>
          <w:szCs w:val="32"/>
        </w:rPr>
        <w:t>七、采购需求</w:t>
      </w:r>
    </w:p>
    <w:p>
      <w:pPr>
        <w:numPr>
          <w:ilvl w:val="0"/>
          <w:numId w:val="0"/>
        </w:numPr>
        <w:ind w:leftChars="0" w:firstLine="64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从落笔洞遗址民俗历史故事、科学研究、摩崖石刻阐释、考古发掘口述史、同类型文化价值关联等方面开展落笔洞遗址系统的科学研究工作，并通过创新传播形式讲好遗址故事，提升公众对本土文化根脉的认知度与认同感</w:t>
      </w:r>
      <w:r>
        <w:rPr>
          <w:rFonts w:hint="eastAsia" w:ascii="Times New Roman" w:hAnsi="Times New Roman" w:eastAsia="仿宋_GB2312" w:cs="Times New Roman"/>
          <w:sz w:val="32"/>
          <w:szCs w:val="32"/>
          <w:lang w:eastAsia="zh-CN"/>
        </w:rPr>
        <w:t>。</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（一）历史背景故事收集研究。</w:t>
      </w:r>
      <w:r>
        <w:rPr>
          <w:rFonts w:hint="default" w:ascii="Times New Roman" w:hAnsi="Times New Roman" w:eastAsia="仿宋_GB2312" w:cs="Times New Roman"/>
          <w:sz w:val="32"/>
          <w:szCs w:val="32"/>
          <w:lang w:val="en-US" w:eastAsia="zh-CN"/>
        </w:rPr>
        <w:t>成立落笔洞历史文化研究小组</w:t>
      </w:r>
      <w:r>
        <w:rPr>
          <w:rFonts w:hint="eastAsia" w:ascii="Times New Roman" w:hAnsi="Times New Roman" w:eastAsia="仿宋_GB2312" w:cs="Times New Roman"/>
          <w:sz w:val="32"/>
          <w:szCs w:val="32"/>
          <w:lang w:val="en-US" w:eastAsia="zh-CN"/>
        </w:rPr>
        <w:t>，对落笔洞周边村庄全面走访，多方式收集关于落笔洞的故事、传说、民俗活动、村民口述等等内容</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（二）摩崖石刻调查发现。</w:t>
      </w:r>
      <w:r>
        <w:rPr>
          <w:rFonts w:hint="eastAsia" w:ascii="Times New Roman" w:hAnsi="Times New Roman" w:eastAsia="仿宋_GB2312" w:cs="Times New Roman"/>
          <w:sz w:val="32"/>
          <w:szCs w:val="32"/>
          <w:lang w:val="en-US" w:eastAsia="zh-CN"/>
        </w:rPr>
        <w:t xml:space="preserve">组成摩崖石刻勘查小组，对落笔洞摩崖石刻进行全面勘查，对落笔峰未被发现的石刻，做深入调查，挖掘石刻信息。 </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（三）资料册编制。</w:t>
      </w:r>
      <w:r>
        <w:rPr>
          <w:rFonts w:hint="eastAsia" w:ascii="Times New Roman" w:hAnsi="Times New Roman" w:eastAsia="仿宋_GB2312" w:cs="Times New Roman"/>
          <w:sz w:val="32"/>
          <w:szCs w:val="32"/>
          <w:lang w:val="en-US" w:eastAsia="zh-CN"/>
        </w:rPr>
        <w:t xml:space="preserve">根据收集研究成果，对资料册内容进行整体策划，对每个板块内容进行详细梳理，突出重点，确保资料册内容丰富且逻辑清晰，对资料册内容进行审核，从历史文化准确性、保护措施合理性、语言文字规范性等方面进行严格把关，确保无错误、无遗漏。 </w:t>
      </w:r>
    </w:p>
    <w:p>
      <w:pPr>
        <w:pStyle w:val="2"/>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lang w:val="en-US" w:eastAsia="zh-CN"/>
        </w:rPr>
        <w:t>（四）立体化常态化宣传。</w:t>
      </w:r>
      <w:r>
        <w:rPr>
          <w:rFonts w:hint="eastAsia" w:ascii="Times New Roman" w:hAnsi="Times New Roman" w:eastAsia="仿宋_GB2312" w:cs="Times New Roman"/>
          <w:kern w:val="2"/>
          <w:sz w:val="32"/>
          <w:szCs w:val="32"/>
          <w:lang w:val="en-US" w:eastAsia="zh-CN" w:bidi="ar-SA"/>
        </w:rPr>
        <w:t>围绕落笔洞遗址文化内涵，策划主题宣传内容，形成多维度宣传体系，打造沉浸式数字传播内容，全方位展示落笔洞遗址的独特魅力。</w:t>
      </w:r>
    </w:p>
    <w:p>
      <w:pPr>
        <w:ind w:firstLine="640" w:firstLineChars="200"/>
        <w:rPr>
          <w:rFonts w:hint="eastAsia" w:ascii="黑体" w:hAnsi="黑体" w:eastAsia="黑体" w:cs="黑体"/>
          <w:b w:val="0"/>
          <w:bCs w:val="0"/>
          <w:color w:val="464646"/>
          <w:sz w:val="32"/>
          <w:szCs w:val="32"/>
          <w:lang w:val="en-US" w:eastAsia="zh-CN"/>
        </w:rPr>
      </w:pPr>
      <w:r>
        <w:rPr>
          <w:rFonts w:hint="eastAsia" w:ascii="黑体" w:hAnsi="黑体" w:eastAsia="黑体" w:cs="黑体"/>
          <w:b w:val="0"/>
          <w:bCs w:val="0"/>
          <w:color w:val="464646"/>
          <w:sz w:val="32"/>
          <w:szCs w:val="32"/>
          <w:lang w:val="en-US" w:eastAsia="zh-CN"/>
        </w:rPr>
        <w:t>八、评分标准</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3"/>
        <w:gridCol w:w="1266"/>
        <w:gridCol w:w="53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9061" w:type="dxa"/>
            <w:gridSpan w:val="4"/>
            <w:noWrap w:val="0"/>
            <w:vAlign w:val="center"/>
          </w:tcPr>
          <w:p>
            <w:pPr>
              <w:spacing w:line="579" w:lineRule="exact"/>
              <w:jc w:val="center"/>
              <w:rPr>
                <w:rFonts w:hint="default" w:ascii="黑体" w:hAnsi="黑体" w:eastAsia="黑体" w:cs="黑体"/>
                <w:b w:val="0"/>
                <w:bCs w:val="0"/>
                <w:color w:val="464646"/>
                <w:sz w:val="36"/>
                <w:szCs w:val="36"/>
                <w:vertAlign w:val="baseline"/>
                <w:lang w:val="en-US" w:eastAsia="zh-CN"/>
              </w:rPr>
            </w:pPr>
            <w:r>
              <w:rPr>
                <w:rFonts w:hint="default" w:ascii="仿宋_GB2312" w:hAnsi="仿宋_GB2312" w:eastAsia="仿宋_GB2312" w:cs="仿宋_GB2312"/>
                <w:b w:val="0"/>
                <w:bCs w:val="0"/>
                <w:kern w:val="2"/>
                <w:sz w:val="32"/>
                <w:szCs w:val="32"/>
                <w:lang w:val="en-US" w:eastAsia="zh-CN" w:bidi="ar-SA"/>
              </w:rPr>
              <w:t>落笔洞遗址</w:t>
            </w:r>
            <w:r>
              <w:rPr>
                <w:rFonts w:hint="eastAsia" w:ascii="仿宋_GB2312" w:hAnsi="仿宋_GB2312" w:eastAsia="仿宋_GB2312" w:cs="仿宋_GB2312"/>
                <w:b w:val="0"/>
                <w:bCs w:val="0"/>
                <w:kern w:val="2"/>
                <w:sz w:val="32"/>
                <w:szCs w:val="32"/>
                <w:lang w:val="en-US" w:eastAsia="zh-CN" w:bidi="ar-SA"/>
              </w:rPr>
              <w:t>科学文化价值研究项目</w:t>
            </w:r>
            <w:r>
              <w:rPr>
                <w:rFonts w:hint="eastAsia" w:ascii="仿宋_GB2312" w:hAnsi="仿宋_GB2312" w:eastAsia="仿宋_GB2312" w:cs="仿宋_GB2312"/>
                <w:b w:val="0"/>
                <w:bCs w:val="0"/>
                <w:color w:val="000000"/>
                <w:sz w:val="32"/>
                <w:szCs w:val="32"/>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8" w:hRule="atLeast"/>
        </w:trPr>
        <w:tc>
          <w:tcPr>
            <w:tcW w:w="1113" w:type="dxa"/>
            <w:noWrap w:val="0"/>
            <w:vAlign w:val="center"/>
          </w:tcPr>
          <w:p>
            <w:pPr>
              <w:widowControl/>
              <w:spacing w:line="300" w:lineRule="auto"/>
              <w:ind w:firstLine="220" w:firstLineChars="10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序号</w:t>
            </w:r>
          </w:p>
        </w:tc>
        <w:tc>
          <w:tcPr>
            <w:tcW w:w="1266" w:type="dxa"/>
            <w:noWrap w:val="0"/>
            <w:vAlign w:val="center"/>
          </w:tcPr>
          <w:p>
            <w:pPr>
              <w:widowControl/>
              <w:spacing w:line="300" w:lineRule="auto"/>
              <w:ind w:firstLine="220" w:firstLineChars="100"/>
              <w:jc w:val="left"/>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名称</w:t>
            </w:r>
          </w:p>
        </w:tc>
        <w:tc>
          <w:tcPr>
            <w:tcW w:w="5300" w:type="dxa"/>
            <w:noWrap w:val="0"/>
            <w:vAlign w:val="center"/>
          </w:tcPr>
          <w:p>
            <w:pPr>
              <w:widowControl/>
              <w:spacing w:line="300" w:lineRule="auto"/>
              <w:ind w:firstLine="420"/>
              <w:jc w:val="center"/>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内容</w:t>
            </w:r>
          </w:p>
        </w:tc>
        <w:tc>
          <w:tcPr>
            <w:tcW w:w="1382" w:type="dxa"/>
            <w:noWrap w:val="0"/>
            <w:vAlign w:val="center"/>
          </w:tcPr>
          <w:p>
            <w:pPr>
              <w:widowControl/>
              <w:spacing w:line="300" w:lineRule="auto"/>
              <w:ind w:firstLine="420"/>
              <w:jc w:val="left"/>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trPr>
        <w:tc>
          <w:tcPr>
            <w:tcW w:w="1113" w:type="dxa"/>
            <w:noWrap w:val="0"/>
            <w:vAlign w:val="center"/>
          </w:tcPr>
          <w:p>
            <w:pPr>
              <w:widowControl/>
              <w:spacing w:line="300" w:lineRule="auto"/>
              <w:ind w:firstLine="420"/>
              <w:jc w:val="both"/>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1</w:t>
            </w:r>
          </w:p>
        </w:tc>
        <w:tc>
          <w:tcPr>
            <w:tcW w:w="1266" w:type="dxa"/>
            <w:noWrap w:val="0"/>
            <w:vAlign w:val="center"/>
          </w:tcPr>
          <w:p>
            <w:pPr>
              <w:widowControl/>
              <w:spacing w:line="300" w:lineRule="auto"/>
              <w:ind w:firstLine="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价格分</w:t>
            </w:r>
          </w:p>
        </w:tc>
        <w:tc>
          <w:tcPr>
            <w:tcW w:w="5300" w:type="dxa"/>
            <w:noWrap w:val="0"/>
            <w:vAlign w:val="center"/>
          </w:tcPr>
          <w:p>
            <w:pPr>
              <w:pageBreakBefore w:val="0"/>
              <w:widowControl/>
              <w:kinsoku/>
              <w:wordWrap/>
              <w:overflowPunct/>
              <w:topLinePunct w:val="0"/>
              <w:autoSpaceDE/>
              <w:bidi w:val="0"/>
              <w:adjustRightInd/>
              <w:snapToGrid/>
              <w:spacing w:line="300" w:lineRule="auto"/>
              <w:ind w:firstLine="0"/>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综合评分法中的价格分统一采用低价优先法计算，即满足磋商文件要求且最后报价最低的供应商的价格为磋商基准价，其价格分为满分。其他供应商的价格分统一按照下列公式计算：</w:t>
            </w:r>
          </w:p>
          <w:p>
            <w:pPr>
              <w:widowControl/>
              <w:spacing w:line="300" w:lineRule="auto"/>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color w:val="000000"/>
                <w:kern w:val="0"/>
                <w:sz w:val="22"/>
                <w:szCs w:val="22"/>
              </w:rPr>
              <w:t>磋商报价得分=（磋商基准价/最后磋商报价）×30%×100</w:t>
            </w:r>
          </w:p>
        </w:tc>
        <w:tc>
          <w:tcPr>
            <w:tcW w:w="1382" w:type="dxa"/>
            <w:noWrap w:val="0"/>
            <w:vAlign w:val="center"/>
          </w:tcPr>
          <w:p>
            <w:pPr>
              <w:widowControl/>
              <w:spacing w:line="300" w:lineRule="auto"/>
              <w:ind w:firstLine="420"/>
              <w:jc w:val="left"/>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13" w:type="dxa"/>
            <w:noWrap w:val="0"/>
            <w:vAlign w:val="center"/>
          </w:tcPr>
          <w:p>
            <w:pPr>
              <w:widowControl/>
              <w:spacing w:line="300" w:lineRule="auto"/>
              <w:ind w:firstLine="420"/>
              <w:jc w:val="both"/>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2</w:t>
            </w:r>
          </w:p>
        </w:tc>
        <w:tc>
          <w:tcPr>
            <w:tcW w:w="1266" w:type="dxa"/>
            <w:noWrap w:val="0"/>
            <w:vAlign w:val="center"/>
          </w:tcPr>
          <w:p>
            <w:pPr>
              <w:widowControl/>
              <w:spacing w:line="300" w:lineRule="auto"/>
              <w:ind w:firstLine="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业绩分</w:t>
            </w:r>
          </w:p>
        </w:tc>
        <w:tc>
          <w:tcPr>
            <w:tcW w:w="5300" w:type="dxa"/>
            <w:noWrap w:val="0"/>
            <w:vAlign w:val="center"/>
          </w:tcPr>
          <w:p>
            <w:pPr>
              <w:pageBreakBefore w:val="0"/>
              <w:widowControl/>
              <w:numPr>
                <w:ilvl w:val="0"/>
                <w:numId w:val="0"/>
              </w:numPr>
              <w:tabs>
                <w:tab w:val="left" w:pos="1220"/>
              </w:tabs>
              <w:kinsoku/>
              <w:wordWrap/>
              <w:overflowPunct/>
              <w:topLinePunct w:val="0"/>
              <w:autoSpaceDE/>
              <w:bidi w:val="0"/>
              <w:adjustRightInd/>
              <w:snapToGrid/>
              <w:spacing w:line="300" w:lineRule="auto"/>
              <w:ind w:firstLine="0" w:firstLineChars="0"/>
              <w:jc w:val="both"/>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bidi="ar"/>
              </w:rPr>
              <w:t>供应商需提供2</w:t>
            </w:r>
            <w:r>
              <w:rPr>
                <w:rFonts w:hint="eastAsia" w:ascii="宋体" w:hAnsi="宋体" w:eastAsia="宋体" w:cs="宋体"/>
                <w:color w:val="000000"/>
                <w:kern w:val="0"/>
                <w:sz w:val="22"/>
                <w:szCs w:val="22"/>
                <w:lang w:val="en-US" w:eastAsia="zh-CN"/>
              </w:rPr>
              <w:t>022</w:t>
            </w:r>
            <w:r>
              <w:rPr>
                <w:rFonts w:hint="eastAsia" w:ascii="宋体" w:hAnsi="宋体" w:eastAsia="宋体" w:cs="宋体"/>
                <w:color w:val="000000"/>
                <w:kern w:val="0"/>
                <w:sz w:val="22"/>
                <w:szCs w:val="22"/>
                <w:lang w:val="en-US" w:eastAsia="zh-CN" w:bidi="ar"/>
              </w:rPr>
              <w:t>年至今</w:t>
            </w:r>
            <w:r>
              <w:rPr>
                <w:rFonts w:hint="eastAsia" w:ascii="宋体" w:hAnsi="宋体" w:eastAsia="宋体" w:cs="宋体"/>
                <w:color w:val="000000"/>
                <w:kern w:val="0"/>
                <w:sz w:val="22"/>
                <w:szCs w:val="22"/>
                <w:lang w:val="en-US" w:eastAsia="zh-CN"/>
              </w:rPr>
              <w:t>与文物研究、文化遗产保护工作等相关方面的</w:t>
            </w:r>
            <w:r>
              <w:rPr>
                <w:rFonts w:hint="eastAsia" w:ascii="宋体" w:hAnsi="宋体" w:eastAsia="宋体" w:cs="宋体"/>
                <w:color w:val="000000"/>
                <w:kern w:val="0"/>
                <w:sz w:val="22"/>
                <w:szCs w:val="22"/>
                <w:lang w:val="en-US" w:eastAsia="zh-CN" w:bidi="ar"/>
              </w:rPr>
              <w:t>项目业绩，每提供一份得</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lang w:val="en-US" w:eastAsia="zh-CN" w:bidi="ar"/>
              </w:rPr>
              <w:t>分，本项满分</w:t>
            </w:r>
            <w:r>
              <w:rPr>
                <w:rFonts w:hint="eastAsia" w:ascii="宋体" w:hAnsi="宋体" w:cs="宋体"/>
                <w:color w:val="000000"/>
                <w:kern w:val="0"/>
                <w:sz w:val="22"/>
                <w:szCs w:val="22"/>
                <w:lang w:val="en-US" w:eastAsia="zh-CN" w:bidi="ar"/>
              </w:rPr>
              <w:t>20</w:t>
            </w:r>
            <w:r>
              <w:rPr>
                <w:rFonts w:hint="eastAsia" w:ascii="宋体" w:hAnsi="宋体" w:eastAsia="宋体" w:cs="宋体"/>
                <w:color w:val="000000"/>
                <w:kern w:val="0"/>
                <w:sz w:val="22"/>
                <w:szCs w:val="22"/>
                <w:lang w:val="en-US" w:eastAsia="zh-CN" w:bidi="ar"/>
              </w:rPr>
              <w:t>分要求如下：</w:t>
            </w:r>
          </w:p>
          <w:p>
            <w:pPr>
              <w:widowControl/>
              <w:spacing w:line="300" w:lineRule="auto"/>
              <w:ind w:firstLine="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color w:val="000000"/>
                <w:kern w:val="0"/>
                <w:sz w:val="22"/>
                <w:szCs w:val="22"/>
                <w:lang w:val="en-US" w:eastAsia="zh-CN" w:bidi="ar"/>
              </w:rPr>
              <w:t>注：投标人必须提供合同复印件</w:t>
            </w:r>
            <w:r>
              <w:rPr>
                <w:rFonts w:hint="eastAsia" w:ascii="宋体" w:hAnsi="宋体" w:cs="宋体"/>
                <w:color w:val="000000"/>
                <w:kern w:val="0"/>
                <w:sz w:val="22"/>
                <w:szCs w:val="22"/>
                <w:lang w:val="en-US" w:eastAsia="zh-CN" w:bidi="ar"/>
              </w:rPr>
              <w:t>或</w:t>
            </w:r>
            <w:r>
              <w:rPr>
                <w:rFonts w:hint="eastAsia" w:ascii="宋体" w:hAnsi="宋体" w:eastAsia="宋体" w:cs="宋体"/>
                <w:color w:val="000000"/>
                <w:kern w:val="0"/>
                <w:sz w:val="22"/>
                <w:szCs w:val="22"/>
                <w:lang w:val="en-US" w:eastAsia="zh-CN" w:bidi="ar"/>
              </w:rPr>
              <w:t>验收材料等，未按要求提供的不得分。</w:t>
            </w:r>
          </w:p>
        </w:tc>
        <w:tc>
          <w:tcPr>
            <w:tcW w:w="1382" w:type="dxa"/>
            <w:noWrap w:val="0"/>
            <w:vAlign w:val="center"/>
          </w:tcPr>
          <w:p>
            <w:pPr>
              <w:widowControl/>
              <w:spacing w:line="300" w:lineRule="auto"/>
              <w:ind w:firstLine="420"/>
              <w:jc w:val="left"/>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13" w:type="dxa"/>
            <w:noWrap w:val="0"/>
            <w:vAlign w:val="center"/>
          </w:tcPr>
          <w:p>
            <w:pPr>
              <w:widowControl/>
              <w:spacing w:line="300" w:lineRule="auto"/>
              <w:ind w:firstLine="420"/>
              <w:jc w:val="both"/>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3</w:t>
            </w:r>
          </w:p>
        </w:tc>
        <w:tc>
          <w:tcPr>
            <w:tcW w:w="1266" w:type="dxa"/>
            <w:noWrap w:val="0"/>
            <w:vAlign w:val="center"/>
          </w:tcPr>
          <w:p>
            <w:pPr>
              <w:widowControl/>
              <w:spacing w:line="300" w:lineRule="auto"/>
              <w:ind w:firstLine="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人员配置分</w:t>
            </w:r>
          </w:p>
        </w:tc>
        <w:tc>
          <w:tcPr>
            <w:tcW w:w="5300" w:type="dxa"/>
            <w:noWrap w:val="0"/>
            <w:vAlign w:val="center"/>
          </w:tcPr>
          <w:p>
            <w:pPr>
              <w:widowControl/>
              <w:numPr>
                <w:ilvl w:val="0"/>
                <w:numId w:val="0"/>
              </w:numPr>
              <w:tabs>
                <w:tab w:val="left" w:pos="1220"/>
              </w:tabs>
              <w:spacing w:line="300" w:lineRule="auto"/>
              <w:ind w:firstLine="0" w:firstLineChars="0"/>
              <w:jc w:val="both"/>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rPr>
              <w:t>保证本项目的售后服务有保障，供应</w:t>
            </w:r>
            <w:r>
              <w:rPr>
                <w:rFonts w:hint="eastAsia" w:ascii="宋体" w:hAnsi="宋体" w:eastAsia="宋体" w:cs="宋体"/>
                <w:color w:val="000000"/>
                <w:kern w:val="0"/>
                <w:sz w:val="22"/>
                <w:szCs w:val="22"/>
              </w:rPr>
              <w:t>商拟投入本项目</w:t>
            </w:r>
            <w:r>
              <w:rPr>
                <w:rFonts w:hint="eastAsia" w:ascii="宋体" w:hAnsi="宋体" w:eastAsia="宋体" w:cs="宋体"/>
                <w:color w:val="000000"/>
                <w:kern w:val="0"/>
                <w:sz w:val="22"/>
                <w:szCs w:val="22"/>
                <w:lang w:val="en-US" w:eastAsia="zh-CN" w:bidi="ar"/>
              </w:rPr>
              <w:t>技术力量：</w:t>
            </w:r>
          </w:p>
          <w:p>
            <w:pPr>
              <w:widowControl/>
              <w:numPr>
                <w:ilvl w:val="0"/>
                <w:numId w:val="0"/>
              </w:numPr>
              <w:tabs>
                <w:tab w:val="left" w:pos="1220"/>
              </w:tabs>
              <w:spacing w:line="300" w:lineRule="auto"/>
              <w:ind w:left="0" w:leftChars="0" w:firstLine="0"/>
              <w:jc w:val="both"/>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lang w:val="en-US" w:eastAsia="zh-CN" w:bidi="ar"/>
              </w:rPr>
              <w:t>具有</w:t>
            </w:r>
            <w:r>
              <w:rPr>
                <w:rFonts w:hint="eastAsia" w:ascii="宋体" w:hAnsi="宋体" w:eastAsia="宋体" w:cs="宋体"/>
                <w:color w:val="000000"/>
                <w:kern w:val="0"/>
                <w:sz w:val="22"/>
                <w:szCs w:val="22"/>
                <w:lang w:val="en-US" w:eastAsia="zh-CN" w:bidi="ar"/>
              </w:rPr>
              <w:t>五年研究</w:t>
            </w:r>
            <w:r>
              <w:rPr>
                <w:rFonts w:hint="eastAsia" w:ascii="宋体" w:hAnsi="宋体" w:cs="宋体"/>
                <w:color w:val="000000"/>
                <w:kern w:val="0"/>
                <w:sz w:val="22"/>
                <w:szCs w:val="22"/>
                <w:lang w:val="en-US" w:eastAsia="zh-CN" w:bidi="ar"/>
              </w:rPr>
              <w:t>及</w:t>
            </w:r>
            <w:r>
              <w:rPr>
                <w:rFonts w:hint="eastAsia" w:ascii="宋体" w:hAnsi="宋体" w:eastAsia="宋体" w:cs="宋体"/>
                <w:color w:val="000000"/>
                <w:kern w:val="0"/>
                <w:sz w:val="22"/>
                <w:szCs w:val="22"/>
                <w:lang w:val="en-US" w:eastAsia="zh-CN" w:bidi="ar"/>
              </w:rPr>
              <w:t>以上</w:t>
            </w:r>
            <w:r>
              <w:rPr>
                <w:rFonts w:hint="eastAsia" w:ascii="宋体" w:hAnsi="宋体" w:cs="宋体"/>
                <w:color w:val="000000"/>
                <w:kern w:val="0"/>
                <w:sz w:val="22"/>
                <w:szCs w:val="22"/>
                <w:lang w:val="en-US" w:eastAsia="zh-CN" w:bidi="ar"/>
              </w:rPr>
              <w:t>与</w:t>
            </w:r>
            <w:r>
              <w:rPr>
                <w:rFonts w:hint="eastAsia" w:ascii="宋体" w:hAnsi="宋体" w:eastAsia="宋体" w:cs="宋体"/>
                <w:color w:val="000000"/>
                <w:kern w:val="0"/>
                <w:sz w:val="22"/>
                <w:szCs w:val="22"/>
                <w:lang w:val="en-US" w:eastAsia="zh-CN" w:bidi="ar"/>
              </w:rPr>
              <w:t>文物、文化遗产保护相关工作经验的或者副高级以上人员得</w:t>
            </w:r>
            <w:r>
              <w:rPr>
                <w:rFonts w:hint="eastAsia" w:ascii="宋体" w:hAnsi="宋体" w:cs="宋体"/>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分，满分</w:t>
            </w:r>
            <w:r>
              <w:rPr>
                <w:rFonts w:hint="eastAsia" w:ascii="宋体" w:hAnsi="宋体" w:cs="宋体"/>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分；</w:t>
            </w:r>
          </w:p>
          <w:p>
            <w:pPr>
              <w:widowControl/>
              <w:spacing w:line="300" w:lineRule="auto"/>
              <w:ind w:firstLine="0"/>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rPr>
              <w:t>2.与</w:t>
            </w:r>
            <w:r>
              <w:rPr>
                <w:rFonts w:hint="eastAsia" w:ascii="宋体" w:hAnsi="宋体" w:eastAsia="宋体" w:cs="宋体"/>
                <w:color w:val="000000"/>
                <w:kern w:val="0"/>
                <w:sz w:val="22"/>
                <w:szCs w:val="22"/>
                <w:lang w:val="en-US" w:eastAsia="zh-CN" w:bidi="ar"/>
              </w:rPr>
              <w:t>文物研究、文化遗产</w:t>
            </w:r>
            <w:r>
              <w:rPr>
                <w:rFonts w:hint="eastAsia" w:ascii="宋体" w:hAnsi="宋体" w:cs="宋体"/>
                <w:color w:val="000000"/>
                <w:kern w:val="0"/>
                <w:sz w:val="22"/>
                <w:szCs w:val="22"/>
                <w:lang w:val="en-US" w:eastAsia="zh-CN" w:bidi="ar"/>
              </w:rPr>
              <w:t>相关的大学</w:t>
            </w:r>
            <w:r>
              <w:rPr>
                <w:rFonts w:hint="eastAsia" w:ascii="宋体" w:hAnsi="宋体" w:eastAsia="宋体" w:cs="宋体"/>
                <w:color w:val="000000"/>
                <w:kern w:val="0"/>
                <w:sz w:val="22"/>
                <w:szCs w:val="22"/>
                <w:lang w:val="en-US" w:eastAsia="zh-CN" w:bidi="ar"/>
              </w:rPr>
              <w:t>本科或者两年</w:t>
            </w:r>
            <w:r>
              <w:rPr>
                <w:rFonts w:hint="eastAsia" w:ascii="宋体" w:hAnsi="宋体" w:cs="宋体"/>
                <w:color w:val="000000"/>
                <w:kern w:val="0"/>
                <w:sz w:val="22"/>
                <w:szCs w:val="22"/>
                <w:lang w:val="en-US" w:eastAsia="zh-CN" w:bidi="ar"/>
              </w:rPr>
              <w:t>及</w:t>
            </w:r>
            <w:r>
              <w:rPr>
                <w:rFonts w:hint="eastAsia" w:ascii="宋体" w:hAnsi="宋体" w:eastAsia="宋体" w:cs="宋体"/>
                <w:color w:val="000000"/>
                <w:kern w:val="0"/>
                <w:sz w:val="22"/>
                <w:szCs w:val="22"/>
                <w:lang w:val="en-US" w:eastAsia="zh-CN" w:bidi="ar"/>
              </w:rPr>
              <w:t>以上研究</w:t>
            </w:r>
            <w:r>
              <w:rPr>
                <w:rFonts w:hint="eastAsia" w:ascii="宋体" w:hAnsi="宋体" w:cs="宋体"/>
                <w:color w:val="000000"/>
                <w:kern w:val="0"/>
                <w:sz w:val="22"/>
                <w:szCs w:val="22"/>
                <w:lang w:val="en-US" w:eastAsia="zh-CN" w:bidi="ar"/>
              </w:rPr>
              <w:t>人员</w:t>
            </w:r>
            <w:r>
              <w:rPr>
                <w:rFonts w:hint="eastAsia" w:ascii="宋体" w:hAnsi="宋体" w:eastAsia="宋体" w:cs="宋体"/>
                <w:color w:val="000000"/>
                <w:kern w:val="0"/>
                <w:sz w:val="22"/>
                <w:szCs w:val="22"/>
                <w:lang w:val="en-US" w:eastAsia="zh-CN" w:bidi="ar"/>
              </w:rPr>
              <w:t>每提供一个得</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分，满分</w:t>
            </w:r>
            <w:r>
              <w:rPr>
                <w:rFonts w:hint="eastAsia" w:ascii="宋体" w:hAnsi="宋体" w:cs="宋体"/>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本项满分1</w:t>
            </w:r>
            <w:r>
              <w:rPr>
                <w:rFonts w:hint="eastAsia" w:ascii="宋体" w:hAnsi="宋体" w:cs="宋体"/>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分。</w:t>
            </w:r>
          </w:p>
          <w:p>
            <w:pPr>
              <w:widowControl/>
              <w:spacing w:line="300" w:lineRule="auto"/>
              <w:ind w:firstLine="0" w:firstLineChars="0"/>
              <w:rPr>
                <w:rFonts w:hint="default" w:ascii="Calibri" w:hAnsi="Calibri" w:eastAsia="宋体" w:cs="Times New Roman"/>
                <w:b w:val="0"/>
                <w:bCs w:val="0"/>
                <w:color w:val="464646"/>
                <w:sz w:val="21"/>
                <w:szCs w:val="24"/>
                <w:vertAlign w:val="baseline"/>
                <w:lang w:val="en-US" w:eastAsia="zh-CN"/>
              </w:rPr>
            </w:pPr>
            <w:r>
              <w:rPr>
                <w:rFonts w:hint="eastAsia" w:ascii="宋体" w:hAnsi="宋体" w:eastAsia="宋体" w:cs="宋体"/>
                <w:color w:val="000000"/>
                <w:kern w:val="0"/>
                <w:sz w:val="22"/>
                <w:szCs w:val="22"/>
                <w:lang w:val="en-US" w:eastAsia="zh-CN" w:bidi="ar"/>
              </w:rPr>
              <w:t>（</w:t>
            </w:r>
            <w:r>
              <w:rPr>
                <w:rFonts w:hint="eastAsia" w:ascii="宋体" w:hAnsi="宋体" w:cs="宋体"/>
                <w:color w:val="000000"/>
                <w:kern w:val="0"/>
                <w:sz w:val="22"/>
                <w:szCs w:val="22"/>
                <w:lang w:val="en-US" w:eastAsia="zh-CN" w:bidi="ar"/>
              </w:rPr>
              <w:t>以上均</w:t>
            </w:r>
            <w:r>
              <w:rPr>
                <w:rFonts w:hint="eastAsia" w:ascii="宋体" w:hAnsi="宋体" w:eastAsia="宋体" w:cs="宋体"/>
                <w:color w:val="000000"/>
                <w:kern w:val="0"/>
                <w:sz w:val="22"/>
                <w:szCs w:val="22"/>
                <w:lang w:val="en-US" w:eastAsia="zh-CN" w:bidi="ar"/>
              </w:rPr>
              <w:t>需提供相应证明材料）</w:t>
            </w:r>
          </w:p>
        </w:tc>
        <w:tc>
          <w:tcPr>
            <w:tcW w:w="1382" w:type="dxa"/>
            <w:noWrap w:val="0"/>
            <w:vAlign w:val="center"/>
          </w:tcPr>
          <w:p>
            <w:pPr>
              <w:widowControl/>
              <w:spacing w:line="300" w:lineRule="auto"/>
              <w:ind w:firstLine="420"/>
              <w:jc w:val="left"/>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13" w:type="dxa"/>
            <w:noWrap w:val="0"/>
            <w:vAlign w:val="center"/>
          </w:tcPr>
          <w:p>
            <w:pPr>
              <w:widowControl/>
              <w:spacing w:line="300" w:lineRule="auto"/>
              <w:ind w:firstLine="420"/>
              <w:jc w:val="both"/>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4</w:t>
            </w:r>
          </w:p>
        </w:tc>
        <w:tc>
          <w:tcPr>
            <w:tcW w:w="1266" w:type="dxa"/>
            <w:noWrap w:val="0"/>
            <w:vAlign w:val="center"/>
          </w:tcPr>
          <w:p>
            <w:pPr>
              <w:widowControl/>
              <w:spacing w:line="300" w:lineRule="auto"/>
              <w:ind w:firstLine="0"/>
              <w:jc w:val="both"/>
              <w:rPr>
                <w:rFonts w:hint="eastAsia" w:ascii="宋体" w:hAnsi="宋体" w:eastAsia="宋体" w:cs="宋体"/>
                <w:b w:val="0"/>
                <w:bCs w:val="0"/>
                <w:color w:val="000000"/>
                <w:kern w:val="0"/>
                <w:sz w:val="22"/>
                <w:szCs w:val="22"/>
                <w:vertAlign w:val="baseline"/>
                <w:lang w:val="en-US" w:eastAsia="zh-CN"/>
              </w:rPr>
            </w:pPr>
            <w:r>
              <w:rPr>
                <w:rFonts w:hint="eastAsia" w:ascii="宋体" w:hAnsi="宋体" w:eastAsia="宋体" w:cs="宋体"/>
                <w:b w:val="0"/>
                <w:bCs w:val="0"/>
                <w:color w:val="000000"/>
                <w:kern w:val="0"/>
                <w:sz w:val="22"/>
                <w:szCs w:val="22"/>
                <w:vertAlign w:val="baseline"/>
                <w:lang w:val="en-US" w:eastAsia="zh-CN"/>
              </w:rPr>
              <w:t>质量保证方案分</w:t>
            </w:r>
          </w:p>
        </w:tc>
        <w:tc>
          <w:tcPr>
            <w:tcW w:w="5300" w:type="dxa"/>
            <w:noWrap w:val="0"/>
            <w:vAlign w:val="center"/>
          </w:tcPr>
          <w:p>
            <w:pPr>
              <w:pageBreakBefore w:val="0"/>
              <w:widowControl/>
              <w:kinsoku/>
              <w:wordWrap/>
              <w:overflowPunct/>
              <w:topLinePunct w:val="0"/>
              <w:autoSpaceDE/>
              <w:bidi w:val="0"/>
              <w:adjustRightInd/>
              <w:snapToGrid/>
              <w:spacing w:line="300" w:lineRule="auto"/>
              <w:ind w:firstLine="0" w:firstLineChars="0"/>
              <w:jc w:val="both"/>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根据供应商提供的项目总体方案、</w:t>
            </w:r>
            <w:r>
              <w:rPr>
                <w:rFonts w:hint="eastAsia" w:ascii="宋体" w:hAnsi="宋体" w:cs="宋体"/>
                <w:color w:val="000000"/>
                <w:kern w:val="0"/>
                <w:sz w:val="22"/>
                <w:szCs w:val="22"/>
                <w:lang w:val="en-US" w:eastAsia="zh-CN" w:bidi="ar"/>
              </w:rPr>
              <w:t>宣传方案、</w:t>
            </w:r>
            <w:r>
              <w:rPr>
                <w:rFonts w:hint="eastAsia" w:ascii="宋体" w:hAnsi="宋体" w:eastAsia="宋体" w:cs="宋体"/>
                <w:color w:val="000000"/>
                <w:kern w:val="0"/>
                <w:sz w:val="22"/>
                <w:szCs w:val="22"/>
                <w:lang w:val="en-US" w:eastAsia="zh-CN" w:bidi="ar"/>
              </w:rPr>
              <w:t>保证措施、实施流程、成果编制和依据等内容的详细完善程度进行评分：</w:t>
            </w:r>
          </w:p>
          <w:p>
            <w:pPr>
              <w:pageBreakBefore w:val="0"/>
              <w:widowControl/>
              <w:kinsoku/>
              <w:wordWrap/>
              <w:overflowPunct/>
              <w:topLinePunct w:val="0"/>
              <w:autoSpaceDE/>
              <w:bidi w:val="0"/>
              <w:adjustRightInd/>
              <w:snapToGrid/>
              <w:spacing w:line="300" w:lineRule="auto"/>
              <w:ind w:firstLine="0" w:firstLineChars="0"/>
              <w:jc w:val="both"/>
              <w:rPr>
                <w:rFonts w:hint="eastAsia" w:ascii="宋体" w:hAnsi="宋体" w:eastAsia="宋体" w:cs="宋体"/>
                <w:b w:val="0"/>
                <w:bCs w:val="0"/>
                <w:color w:val="FF0000"/>
                <w:kern w:val="0"/>
                <w:sz w:val="22"/>
                <w:szCs w:val="22"/>
                <w:vertAlign w:val="baseline"/>
                <w:lang w:val="en-US" w:eastAsia="zh-CN"/>
              </w:rPr>
            </w:pPr>
            <w:r>
              <w:rPr>
                <w:rFonts w:hint="eastAsia" w:ascii="宋体" w:hAnsi="宋体" w:eastAsia="宋体" w:cs="宋体"/>
                <w:color w:val="000000"/>
                <w:kern w:val="0"/>
                <w:sz w:val="22"/>
                <w:szCs w:val="22"/>
                <w:lang w:val="en-US" w:eastAsia="zh-CN" w:bidi="ar"/>
              </w:rPr>
              <w:t>优秀</w:t>
            </w:r>
            <w:r>
              <w:rPr>
                <w:rFonts w:hint="eastAsia" w:ascii="宋体" w:hAnsi="宋体" w:cs="宋体"/>
                <w:color w:val="000000"/>
                <w:kern w:val="0"/>
                <w:sz w:val="22"/>
                <w:szCs w:val="22"/>
                <w:lang w:val="en-US" w:eastAsia="zh-CN" w:bidi="ar"/>
              </w:rPr>
              <w:t>30</w:t>
            </w:r>
            <w:r>
              <w:rPr>
                <w:rFonts w:hint="eastAsia" w:ascii="宋体" w:hAnsi="宋体" w:eastAsia="宋体" w:cs="宋体"/>
                <w:color w:val="000000"/>
                <w:kern w:val="0"/>
                <w:sz w:val="22"/>
                <w:szCs w:val="22"/>
                <w:lang w:val="en-US" w:eastAsia="zh-CN" w:bidi="ar"/>
              </w:rPr>
              <w:t>-</w:t>
            </w:r>
            <w:r>
              <w:rPr>
                <w:rFonts w:hint="eastAsia" w:ascii="宋体" w:hAnsi="宋体" w:cs="宋体"/>
                <w:color w:val="000000"/>
                <w:kern w:val="0"/>
                <w:sz w:val="22"/>
                <w:szCs w:val="22"/>
                <w:lang w:val="en-US" w:eastAsia="zh-CN" w:bidi="ar"/>
              </w:rPr>
              <w:t>40</w:t>
            </w:r>
            <w:r>
              <w:rPr>
                <w:rFonts w:hint="eastAsia" w:ascii="宋体" w:hAnsi="宋体" w:eastAsia="宋体" w:cs="宋体"/>
                <w:color w:val="000000"/>
                <w:kern w:val="0"/>
                <w:sz w:val="22"/>
                <w:szCs w:val="22"/>
                <w:lang w:val="en-US" w:eastAsia="zh-CN" w:bidi="ar"/>
              </w:rPr>
              <w:t>、良好1</w:t>
            </w:r>
            <w:r>
              <w:rPr>
                <w:rFonts w:hint="eastAsia" w:ascii="宋体" w:hAnsi="宋体" w:cs="宋体"/>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-2</w:t>
            </w:r>
            <w:r>
              <w:rPr>
                <w:rFonts w:hint="eastAsia" w:ascii="宋体" w:hAnsi="宋体" w:cs="宋体"/>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分、一般1-1</w:t>
            </w:r>
            <w:r>
              <w:rPr>
                <w:rFonts w:hint="eastAsia" w:ascii="宋体" w:hAnsi="宋体" w:cs="宋体"/>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分，本项满分</w:t>
            </w:r>
            <w:r>
              <w:rPr>
                <w:rFonts w:hint="eastAsia" w:ascii="宋体" w:hAnsi="宋体" w:cs="宋体"/>
                <w:color w:val="000000"/>
                <w:kern w:val="0"/>
                <w:sz w:val="22"/>
                <w:szCs w:val="22"/>
                <w:lang w:val="en-US" w:eastAsia="zh-CN" w:bidi="ar"/>
              </w:rPr>
              <w:t>40</w:t>
            </w:r>
            <w:r>
              <w:rPr>
                <w:rFonts w:hint="eastAsia" w:ascii="宋体" w:hAnsi="宋体" w:eastAsia="宋体" w:cs="宋体"/>
                <w:color w:val="000000"/>
                <w:kern w:val="0"/>
                <w:sz w:val="22"/>
                <w:szCs w:val="22"/>
                <w:lang w:val="en-US" w:eastAsia="zh-CN" w:bidi="ar"/>
              </w:rPr>
              <w:t>分。</w:t>
            </w:r>
          </w:p>
        </w:tc>
        <w:tc>
          <w:tcPr>
            <w:tcW w:w="1382" w:type="dxa"/>
            <w:noWrap w:val="0"/>
            <w:vAlign w:val="center"/>
          </w:tcPr>
          <w:p>
            <w:pPr>
              <w:widowControl/>
              <w:spacing w:line="300" w:lineRule="auto"/>
              <w:ind w:firstLine="420"/>
              <w:jc w:val="left"/>
              <w:rPr>
                <w:rFonts w:hint="default" w:ascii="宋体" w:hAnsi="宋体" w:eastAsia="宋体" w:cs="宋体"/>
                <w:b w:val="0"/>
                <w:bCs w:val="0"/>
                <w:color w:val="000000"/>
                <w:kern w:val="0"/>
                <w:sz w:val="22"/>
                <w:szCs w:val="22"/>
                <w:vertAlign w:val="baseline"/>
                <w:lang w:val="en-US" w:eastAsia="zh-CN"/>
              </w:rPr>
            </w:pPr>
            <w:r>
              <w:rPr>
                <w:rFonts w:hint="eastAsia" w:ascii="宋体" w:hAnsi="宋体" w:cs="宋体"/>
                <w:b w:val="0"/>
                <w:bCs w:val="0"/>
                <w:color w:val="000000"/>
                <w:kern w:val="0"/>
                <w:sz w:val="22"/>
                <w:szCs w:val="22"/>
                <w:vertAlign w:val="baseline"/>
                <w:lang w:val="en-US" w:eastAsia="zh-CN"/>
              </w:rPr>
              <w:t>40</w:t>
            </w:r>
          </w:p>
        </w:tc>
      </w:tr>
    </w:tbl>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黑体" w:hAnsi="黑体" w:eastAsia="黑体" w:cs="黑体"/>
          <w:b w:val="0"/>
          <w:bCs w:val="0"/>
          <w:color w:val="464646"/>
          <w:sz w:val="32"/>
          <w:szCs w:val="32"/>
        </w:rPr>
      </w:pPr>
      <w:r>
        <w:rPr>
          <w:rFonts w:hint="eastAsia" w:ascii="黑体" w:hAnsi="黑体" w:eastAsia="黑体" w:cs="黑体"/>
          <w:b w:val="0"/>
          <w:bCs w:val="0"/>
          <w:color w:val="464646"/>
          <w:sz w:val="32"/>
          <w:szCs w:val="32"/>
          <w:lang w:val="en-US" w:eastAsia="zh-CN"/>
        </w:rPr>
        <w:t>九</w:t>
      </w:r>
      <w:r>
        <w:rPr>
          <w:rFonts w:hint="eastAsia" w:ascii="黑体" w:hAnsi="黑体" w:eastAsia="黑体" w:cs="黑体"/>
          <w:b w:val="0"/>
          <w:bCs w:val="0"/>
          <w:color w:val="464646"/>
          <w:sz w:val="32"/>
          <w:szCs w:val="32"/>
        </w:rPr>
        <w:t>、</w:t>
      </w:r>
      <w:r>
        <w:rPr>
          <w:rStyle w:val="16"/>
          <w:rFonts w:hint="eastAsia" w:ascii="黑体" w:hAnsi="黑体" w:eastAsia="黑体" w:cs="黑体"/>
          <w:b w:val="0"/>
          <w:bCs/>
          <w:i w:val="0"/>
          <w:caps w:val="0"/>
          <w:color w:val="383838"/>
          <w:spacing w:val="0"/>
          <w:sz w:val="32"/>
          <w:szCs w:val="32"/>
          <w:shd w:val="clear" w:color="auto" w:fill="FFFFFF"/>
          <w:vertAlign w:val="baseline"/>
          <w:lang w:val="en" w:eastAsia="zh-CN"/>
        </w:rPr>
        <w:t>合同履行周期</w:t>
      </w:r>
    </w:p>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黑体" w:hAnsi="黑体" w:eastAsia="黑体" w:cs="黑体"/>
          <w:b w:val="0"/>
          <w:bCs w:val="0"/>
          <w:color w:val="464646"/>
          <w:sz w:val="32"/>
          <w:szCs w:val="32"/>
          <w:lang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本次采购项目的合同履行周期自合同签订之日起为期</w:t>
      </w:r>
      <w:r>
        <w:rPr>
          <w:rFonts w:hint="eastAsia" w:ascii="仿宋_GB2312" w:hAnsi="仿宋_GB2312" w:eastAsia="仿宋_GB2312" w:cs="仿宋_GB2312"/>
          <w:b w:val="0"/>
          <w:bCs w:val="0"/>
          <w:kern w:val="2"/>
          <w:sz w:val="32"/>
          <w:szCs w:val="32"/>
          <w:lang w:val="en-US" w:eastAsia="zh-CN" w:bidi="ar-SA"/>
        </w:rPr>
        <w:t>一年（其中落笔洞遗址科学研究工作需在90天内提交成果报告，落笔洞遗址宣传工作一年内根据甲方实际需求提交成果），</w:t>
      </w:r>
      <w:r>
        <w:rPr>
          <w:rFonts w:hint="default" w:ascii="仿宋_GB2312" w:hAnsi="仿宋_GB2312" w:eastAsia="仿宋_GB2312" w:cs="仿宋_GB2312"/>
          <w:b w:val="0"/>
          <w:bCs w:val="0"/>
          <w:kern w:val="2"/>
          <w:sz w:val="32"/>
          <w:szCs w:val="32"/>
          <w:lang w:val="en-US" w:eastAsia="zh-CN" w:bidi="ar-SA"/>
        </w:rPr>
        <w:t>供应商需在此期限内完成本方案的所有要求并确保质量。</w:t>
      </w:r>
    </w:p>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黑体" w:hAnsi="黑体" w:eastAsia="黑体" w:cs="黑体"/>
          <w:b w:val="0"/>
          <w:bCs w:val="0"/>
          <w:color w:val="464646"/>
          <w:sz w:val="32"/>
          <w:szCs w:val="32"/>
        </w:rPr>
      </w:pPr>
      <w:r>
        <w:rPr>
          <w:rFonts w:hint="eastAsia" w:ascii="黑体" w:hAnsi="黑体" w:eastAsia="黑体" w:cs="黑体"/>
          <w:b w:val="0"/>
          <w:bCs w:val="0"/>
          <w:color w:val="464646"/>
          <w:sz w:val="32"/>
          <w:szCs w:val="32"/>
          <w:lang w:eastAsia="zh-CN"/>
        </w:rPr>
        <w:t>十、</w:t>
      </w:r>
      <w:r>
        <w:rPr>
          <w:rFonts w:hint="eastAsia" w:ascii="黑体" w:hAnsi="黑体" w:eastAsia="黑体" w:cs="黑体"/>
          <w:b w:val="0"/>
          <w:bCs w:val="0"/>
          <w:color w:val="464646"/>
          <w:sz w:val="32"/>
          <w:szCs w:val="32"/>
        </w:rPr>
        <w:t>获取采购文件及报价文件提交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sz w:val="32"/>
          <w:szCs w:val="32"/>
        </w:rPr>
        <w:t>获取采购文件：见</w:t>
      </w:r>
      <w:r>
        <w:rPr>
          <w:rFonts w:hint="eastAsia" w:ascii="仿宋_GB2312" w:hAnsi="仿宋_GB2312" w:eastAsia="仿宋_GB2312" w:cs="仿宋_GB2312"/>
          <w:b w:val="0"/>
          <w:bCs w:val="0"/>
          <w:color w:val="000000"/>
          <w:sz w:val="32"/>
          <w:szCs w:val="32"/>
          <w:lang w:eastAsia="zh-CN"/>
        </w:rPr>
        <w:t>磋商</w:t>
      </w:r>
      <w:r>
        <w:rPr>
          <w:rFonts w:hint="eastAsia" w:ascii="仿宋_GB2312" w:hAnsi="仿宋_GB2312" w:eastAsia="仿宋_GB2312" w:cs="仿宋_GB2312"/>
          <w:b w:val="0"/>
          <w:bCs w:val="0"/>
          <w:color w:val="000000"/>
          <w:sz w:val="32"/>
          <w:szCs w:val="32"/>
        </w:rPr>
        <w:t>邀请函附件</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rPr>
        <w:t>报价文件有效期：自报价文件开启之日起</w:t>
      </w:r>
      <w:r>
        <w:rPr>
          <w:rFonts w:hint="eastAsia" w:ascii="仿宋_GB2312" w:hAnsi="仿宋_GB2312" w:eastAsia="仿宋_GB2312" w:cs="仿宋_GB2312"/>
          <w:b w:val="0"/>
          <w:bCs w:val="0"/>
          <w:sz w:val="32"/>
          <w:szCs w:val="32"/>
          <w:lang w:val="en"/>
        </w:rPr>
        <w:t>30</w:t>
      </w:r>
      <w:r>
        <w:rPr>
          <w:rFonts w:hint="eastAsia" w:ascii="仿宋_GB2312" w:hAnsi="仿宋_GB2312" w:eastAsia="仿宋_GB2312" w:cs="仿宋_GB2312"/>
          <w:b w:val="0"/>
          <w:bCs w:val="0"/>
          <w:sz w:val="32"/>
          <w:szCs w:val="32"/>
        </w:rPr>
        <w:t>天</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报价文件份数：</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
        </w:rPr>
        <w:t>份</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 xml:space="preserve">提交方式 ：现场递交 </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采购人：三亚市旅游和文化广电体育局</w:t>
      </w:r>
    </w:p>
    <w:p>
      <w:pPr>
        <w:keepNext w:val="0"/>
        <w:keepLines w:val="0"/>
        <w:widowControl/>
        <w:suppressLineNumbers w:val="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地址：</w:t>
      </w:r>
      <w:r>
        <w:rPr>
          <w:rFonts w:hint="default" w:ascii="仿宋_GB2312" w:hAnsi="仿宋_GB2312" w:eastAsia="仿宋_GB2312" w:cs="仿宋_GB2312"/>
          <w:b w:val="0"/>
          <w:bCs w:val="0"/>
          <w:color w:val="000000"/>
          <w:kern w:val="2"/>
          <w:sz w:val="32"/>
          <w:szCs w:val="32"/>
          <w:lang w:val="en-US" w:eastAsia="zh-CN" w:bidi="ar-SA"/>
        </w:rPr>
        <w:t>三亚市吉阳区东岸一路旅文三亚总部港A2栋8层1号会议室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联系人：</w:t>
      </w:r>
      <w:r>
        <w:rPr>
          <w:rFonts w:hint="eastAsia" w:ascii="仿宋_GB2312" w:hAnsi="仿宋_GB2312" w:eastAsia="仿宋_GB2312" w:cs="仿宋_GB2312"/>
          <w:b w:val="0"/>
          <w:bCs w:val="0"/>
          <w:color w:val="000000"/>
          <w:sz w:val="32"/>
          <w:szCs w:val="32"/>
          <w:lang w:val="en" w:eastAsia="zh-CN"/>
        </w:rPr>
        <w:t>何</w:t>
      </w:r>
      <w:r>
        <w:rPr>
          <w:rFonts w:hint="eastAsia" w:ascii="仿宋_GB2312" w:hAnsi="仿宋_GB2312" w:eastAsia="仿宋_GB2312" w:cs="仿宋_GB2312"/>
          <w:b w:val="0"/>
          <w:bCs w:val="0"/>
          <w:color w:val="000000"/>
          <w:sz w:val="32"/>
          <w:szCs w:val="32"/>
          <w:lang w:val="en-US" w:eastAsia="zh-CN"/>
        </w:rPr>
        <w:t>先生</w:t>
      </w:r>
      <w:r>
        <w:rPr>
          <w:rFonts w:hint="eastAsia" w:ascii="仿宋_GB2312" w:hAnsi="仿宋_GB2312" w:eastAsia="仿宋_GB2312" w:cs="仿宋_GB2312"/>
          <w:b w:val="0"/>
          <w:bCs w:val="0"/>
          <w:color w:val="000000"/>
          <w:sz w:val="32"/>
          <w:szCs w:val="32"/>
        </w:rPr>
        <w:t>，电话：88</w:t>
      </w:r>
      <w:r>
        <w:rPr>
          <w:rFonts w:hint="eastAsia" w:ascii="仿宋_GB2312" w:hAnsi="仿宋_GB2312" w:eastAsia="仿宋_GB2312" w:cs="仿宋_GB2312"/>
          <w:b w:val="0"/>
          <w:bCs w:val="0"/>
          <w:color w:val="000000"/>
          <w:sz w:val="32"/>
          <w:szCs w:val="32"/>
          <w:lang w:val="en-US" w:eastAsia="zh-CN"/>
        </w:rPr>
        <w:t>281937</w:t>
      </w:r>
    </w:p>
    <w:p>
      <w:pPr>
        <w:ind w:firstLine="640" w:firstLineChars="200"/>
        <w:rPr>
          <w:rFonts w:hint="default" w:ascii="Times New Roman" w:hAnsi="Times New Roman" w:eastAsia="仿宋_GB2312" w:cs="Times New Roman"/>
          <w:b w:val="0"/>
          <w:bCs w:val="0"/>
          <w:color w:val="000000"/>
          <w:sz w:val="32"/>
          <w:szCs w:val="32"/>
          <w:lang w:eastAsia="zh-CN"/>
        </w:rPr>
      </w:pPr>
      <w:r>
        <w:rPr>
          <w:rFonts w:hint="eastAsia" w:ascii="仿宋_GB2312" w:hAnsi="仿宋_GB2312" w:eastAsia="仿宋_GB2312" w:cs="仿宋_GB2312"/>
          <w:b w:val="0"/>
          <w:bCs w:val="0"/>
          <w:sz w:val="32"/>
          <w:szCs w:val="32"/>
        </w:rPr>
        <w:t>各单位</w:t>
      </w:r>
      <w:r>
        <w:rPr>
          <w:rFonts w:hint="eastAsia" w:ascii="仿宋_GB2312" w:hAnsi="仿宋_GB2312" w:eastAsia="仿宋_GB2312" w:cs="仿宋_GB2312"/>
          <w:b w:val="0"/>
          <w:bCs w:val="0"/>
          <w:sz w:val="32"/>
          <w:szCs w:val="32"/>
          <w:lang w:val="en-US" w:eastAsia="zh-CN"/>
        </w:rPr>
        <w:t>竞争性磋商</w:t>
      </w:r>
      <w:r>
        <w:rPr>
          <w:rFonts w:hint="eastAsia" w:ascii="仿宋_GB2312" w:hAnsi="仿宋_GB2312" w:eastAsia="仿宋_GB2312" w:cs="仿宋_GB2312"/>
          <w:b w:val="0"/>
          <w:bCs w:val="0"/>
          <w:sz w:val="32"/>
          <w:szCs w:val="32"/>
        </w:rPr>
        <w:t>文件由单位自行保管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密封）</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磋商</w:t>
      </w:r>
      <w:r>
        <w:rPr>
          <w:rFonts w:hint="eastAsia" w:ascii="仿宋_GB2312" w:hAnsi="仿宋_GB2312" w:eastAsia="仿宋_GB2312" w:cs="仿宋_GB2312"/>
          <w:b w:val="0"/>
          <w:bCs w:val="0"/>
          <w:sz w:val="32"/>
          <w:szCs w:val="32"/>
        </w:rPr>
        <w:t>当日在现场打开，无需提前递交。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right"/>
        <w:rPr>
          <w:rFonts w:hint="default" w:ascii="Times New Roman" w:hAnsi="Times New Roman" w:eastAsia="仿宋_GB2312" w:cs="Times New Roman"/>
          <w:b w:val="0"/>
          <w:bCs w:val="0"/>
          <w:color w:val="000000"/>
          <w:sz w:val="32"/>
          <w:szCs w:val="32"/>
          <w:lang w:eastAsia="zh-CN"/>
        </w:rPr>
      </w:pP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right"/>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三亚市旅游和文化广电体育局</w:t>
      </w:r>
    </w:p>
    <w:p>
      <w:pPr>
        <w:jc w:val="center"/>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年</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val="en-US" w:eastAsia="zh-CN"/>
        </w:rPr>
        <w:t>月</w:t>
      </w:r>
      <w:r>
        <w:rPr>
          <w:rFonts w:hint="eastAsia" w:ascii="Times New Roman" w:hAnsi="Times New Roman"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lang w:val="en-US" w:eastAsia="zh-CN"/>
        </w:rPr>
        <w:t>日</w:t>
      </w:r>
    </w:p>
    <w:p>
      <w:pPr>
        <w:pStyle w:val="2"/>
        <w:rPr>
          <w:rFonts w:hint="default"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rPr>
          <w:rFonts w:hint="eastAsia" w:ascii="Times New Roman" w:hAnsi="Times New Roman" w:eastAsia="仿宋_GB2312" w:cs="Times New Roman"/>
          <w:b w:val="0"/>
          <w:bCs w:val="0"/>
          <w:color w:val="000000"/>
          <w:sz w:val="15"/>
          <w:szCs w:val="15"/>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DFlNDQ1ZGY3MTVkNDc5ODAwNTVkNThmOGU0YzIifQ=="/>
  </w:docVars>
  <w:rsids>
    <w:rsidRoot w:val="00000000"/>
    <w:rsid w:val="00CF110C"/>
    <w:rsid w:val="01527F71"/>
    <w:rsid w:val="023512AC"/>
    <w:rsid w:val="025B5D93"/>
    <w:rsid w:val="02A132FE"/>
    <w:rsid w:val="02A520E6"/>
    <w:rsid w:val="030D0734"/>
    <w:rsid w:val="03333E7A"/>
    <w:rsid w:val="03745DC1"/>
    <w:rsid w:val="03A05652"/>
    <w:rsid w:val="03D53D87"/>
    <w:rsid w:val="041E4ABF"/>
    <w:rsid w:val="04826D2E"/>
    <w:rsid w:val="04D55AE8"/>
    <w:rsid w:val="05A625A8"/>
    <w:rsid w:val="05BD6056"/>
    <w:rsid w:val="065A7757"/>
    <w:rsid w:val="066300E8"/>
    <w:rsid w:val="07825D59"/>
    <w:rsid w:val="07983E97"/>
    <w:rsid w:val="07F4BE29"/>
    <w:rsid w:val="083A2C5B"/>
    <w:rsid w:val="087A797A"/>
    <w:rsid w:val="0A652A31"/>
    <w:rsid w:val="0BD27AA6"/>
    <w:rsid w:val="0BED0FC6"/>
    <w:rsid w:val="1061656C"/>
    <w:rsid w:val="112D5510"/>
    <w:rsid w:val="11BF1A3D"/>
    <w:rsid w:val="122861C8"/>
    <w:rsid w:val="12E2404E"/>
    <w:rsid w:val="12EC0194"/>
    <w:rsid w:val="137C3A6B"/>
    <w:rsid w:val="13AF2F6F"/>
    <w:rsid w:val="144E4761"/>
    <w:rsid w:val="15A765F4"/>
    <w:rsid w:val="15FF152C"/>
    <w:rsid w:val="16635AB1"/>
    <w:rsid w:val="16A56688"/>
    <w:rsid w:val="16FC64CC"/>
    <w:rsid w:val="17855928"/>
    <w:rsid w:val="178564C1"/>
    <w:rsid w:val="17ED5B94"/>
    <w:rsid w:val="17F92CF0"/>
    <w:rsid w:val="181B501A"/>
    <w:rsid w:val="19305C51"/>
    <w:rsid w:val="19813C3F"/>
    <w:rsid w:val="19C5656E"/>
    <w:rsid w:val="1A78612C"/>
    <w:rsid w:val="1B1EE041"/>
    <w:rsid w:val="1BFB057C"/>
    <w:rsid w:val="1C2D6E04"/>
    <w:rsid w:val="1CBD1F32"/>
    <w:rsid w:val="1CD001DE"/>
    <w:rsid w:val="1E7D162C"/>
    <w:rsid w:val="1F6A3A8D"/>
    <w:rsid w:val="1FFC8B35"/>
    <w:rsid w:val="200A1FE3"/>
    <w:rsid w:val="2015151B"/>
    <w:rsid w:val="20832DF2"/>
    <w:rsid w:val="21696064"/>
    <w:rsid w:val="226F199F"/>
    <w:rsid w:val="229032BB"/>
    <w:rsid w:val="22F81ACF"/>
    <w:rsid w:val="231B0D32"/>
    <w:rsid w:val="254554E2"/>
    <w:rsid w:val="256C3DC1"/>
    <w:rsid w:val="25EF3DCB"/>
    <w:rsid w:val="26005C42"/>
    <w:rsid w:val="26812549"/>
    <w:rsid w:val="26C3146C"/>
    <w:rsid w:val="272975CD"/>
    <w:rsid w:val="275B367B"/>
    <w:rsid w:val="277D5D97"/>
    <w:rsid w:val="282B6C11"/>
    <w:rsid w:val="29E27F3C"/>
    <w:rsid w:val="2BBA1F9C"/>
    <w:rsid w:val="2C0C6A9D"/>
    <w:rsid w:val="2D3E5731"/>
    <w:rsid w:val="2DA65F86"/>
    <w:rsid w:val="2F8B3EB0"/>
    <w:rsid w:val="301E2654"/>
    <w:rsid w:val="30226E54"/>
    <w:rsid w:val="30822B39"/>
    <w:rsid w:val="30E42336"/>
    <w:rsid w:val="31E2782A"/>
    <w:rsid w:val="31F07456"/>
    <w:rsid w:val="34B75E2D"/>
    <w:rsid w:val="353F6BC5"/>
    <w:rsid w:val="35EF7152"/>
    <w:rsid w:val="36734E67"/>
    <w:rsid w:val="367A7548"/>
    <w:rsid w:val="370A5E1F"/>
    <w:rsid w:val="37A91900"/>
    <w:rsid w:val="37D86499"/>
    <w:rsid w:val="38BA0739"/>
    <w:rsid w:val="397A08A5"/>
    <w:rsid w:val="3B3C37B7"/>
    <w:rsid w:val="3B844130"/>
    <w:rsid w:val="3BE40322"/>
    <w:rsid w:val="3D88145B"/>
    <w:rsid w:val="3E2D328B"/>
    <w:rsid w:val="3EAB0813"/>
    <w:rsid w:val="3F7E818D"/>
    <w:rsid w:val="424D5A51"/>
    <w:rsid w:val="42504B90"/>
    <w:rsid w:val="42843399"/>
    <w:rsid w:val="43B126E2"/>
    <w:rsid w:val="45305DA3"/>
    <w:rsid w:val="45BF20C6"/>
    <w:rsid w:val="460F3276"/>
    <w:rsid w:val="46472A10"/>
    <w:rsid w:val="497342EF"/>
    <w:rsid w:val="49F60938"/>
    <w:rsid w:val="4BD061D0"/>
    <w:rsid w:val="4BE95FB3"/>
    <w:rsid w:val="4D100B4F"/>
    <w:rsid w:val="4DC3409B"/>
    <w:rsid w:val="4E544B2E"/>
    <w:rsid w:val="4E546612"/>
    <w:rsid w:val="4F2E0A82"/>
    <w:rsid w:val="4F964A80"/>
    <w:rsid w:val="50937803"/>
    <w:rsid w:val="51633CE1"/>
    <w:rsid w:val="5263201F"/>
    <w:rsid w:val="52C378C2"/>
    <w:rsid w:val="53620E89"/>
    <w:rsid w:val="547D05BF"/>
    <w:rsid w:val="54D83FF4"/>
    <w:rsid w:val="5516263C"/>
    <w:rsid w:val="59297C8A"/>
    <w:rsid w:val="592D3DE7"/>
    <w:rsid w:val="5A3D0D14"/>
    <w:rsid w:val="5AF20F7A"/>
    <w:rsid w:val="5BC86C25"/>
    <w:rsid w:val="5C017D92"/>
    <w:rsid w:val="5D731E72"/>
    <w:rsid w:val="5D872DC4"/>
    <w:rsid w:val="5E7B47C0"/>
    <w:rsid w:val="5EFE05F4"/>
    <w:rsid w:val="5FBB278F"/>
    <w:rsid w:val="5FE7362F"/>
    <w:rsid w:val="600F6C40"/>
    <w:rsid w:val="610417D1"/>
    <w:rsid w:val="62471D3E"/>
    <w:rsid w:val="630263D7"/>
    <w:rsid w:val="635A5B72"/>
    <w:rsid w:val="63953FA2"/>
    <w:rsid w:val="63954399"/>
    <w:rsid w:val="64034EC5"/>
    <w:rsid w:val="641B7951"/>
    <w:rsid w:val="64306D81"/>
    <w:rsid w:val="658C6239"/>
    <w:rsid w:val="6607061E"/>
    <w:rsid w:val="67738A47"/>
    <w:rsid w:val="67A640D2"/>
    <w:rsid w:val="68A56BE1"/>
    <w:rsid w:val="68DA1544"/>
    <w:rsid w:val="69437E41"/>
    <w:rsid w:val="6A740403"/>
    <w:rsid w:val="6B052831"/>
    <w:rsid w:val="6BB474BD"/>
    <w:rsid w:val="6CCB047D"/>
    <w:rsid w:val="6CF21078"/>
    <w:rsid w:val="6D1D02B2"/>
    <w:rsid w:val="6D2E4BAB"/>
    <w:rsid w:val="6F60676D"/>
    <w:rsid w:val="70137154"/>
    <w:rsid w:val="70BF93C3"/>
    <w:rsid w:val="70D71700"/>
    <w:rsid w:val="70EF6DAB"/>
    <w:rsid w:val="71494FDF"/>
    <w:rsid w:val="71E25DFB"/>
    <w:rsid w:val="7254593A"/>
    <w:rsid w:val="72FD4546"/>
    <w:rsid w:val="7450329B"/>
    <w:rsid w:val="745B26A4"/>
    <w:rsid w:val="74AA1EDD"/>
    <w:rsid w:val="764A25DE"/>
    <w:rsid w:val="76592168"/>
    <w:rsid w:val="770164D0"/>
    <w:rsid w:val="772616E6"/>
    <w:rsid w:val="77EA6BD9"/>
    <w:rsid w:val="78350E30"/>
    <w:rsid w:val="79211F6A"/>
    <w:rsid w:val="7AC758F2"/>
    <w:rsid w:val="7ACD0A2E"/>
    <w:rsid w:val="7AD5B05D"/>
    <w:rsid w:val="7B5D8EE9"/>
    <w:rsid w:val="7BD81903"/>
    <w:rsid w:val="7C152881"/>
    <w:rsid w:val="7D0A7D18"/>
    <w:rsid w:val="7DD520D4"/>
    <w:rsid w:val="7DEF01F0"/>
    <w:rsid w:val="7E4B2893"/>
    <w:rsid w:val="7E7F2881"/>
    <w:rsid w:val="7EBD4ECF"/>
    <w:rsid w:val="7ED9319D"/>
    <w:rsid w:val="7EEF6BA4"/>
    <w:rsid w:val="7F320297"/>
    <w:rsid w:val="7F3EBD5D"/>
    <w:rsid w:val="9E3D4CB6"/>
    <w:rsid w:val="9FFEF4FE"/>
    <w:rsid w:val="AEFF5D38"/>
    <w:rsid w:val="BE9D93D1"/>
    <w:rsid w:val="BF4FF6F6"/>
    <w:rsid w:val="D97F5D76"/>
    <w:rsid w:val="DEFD6B24"/>
    <w:rsid w:val="ECAE8611"/>
    <w:rsid w:val="EDE19521"/>
    <w:rsid w:val="F93F6F4C"/>
    <w:rsid w:val="FB3D3C7A"/>
    <w:rsid w:val="FBF0E871"/>
    <w:rsid w:val="FCE646F3"/>
    <w:rsid w:val="FD7B30A3"/>
    <w:rsid w:val="FDABA8D4"/>
    <w:rsid w:val="FF37B456"/>
    <w:rsid w:val="FF7E703C"/>
    <w:rsid w:val="FF8F17B3"/>
    <w:rsid w:val="FFB78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left="1469"/>
      <w:outlineLvl w:val="0"/>
    </w:pPr>
    <w:rPr>
      <w:rFonts w:ascii="宋体" w:hAnsi="宋体" w:eastAsia="宋体" w:cs="宋体"/>
      <w:sz w:val="31"/>
      <w:szCs w:val="31"/>
    </w:rPr>
  </w:style>
  <w:style w:type="paragraph" w:styleId="4">
    <w:name w:val="heading 2"/>
    <w:basedOn w:val="1"/>
    <w:next w:val="1"/>
    <w:qFormat/>
    <w:uiPriority w:val="1"/>
    <w:pPr>
      <w:ind w:left="498" w:right="2863"/>
      <w:outlineLvl w:val="1"/>
    </w:pPr>
    <w:rPr>
      <w:rFonts w:ascii="宋体" w:hAnsi="宋体" w:eastAsia="宋体" w:cs="宋体"/>
      <w:sz w:val="29"/>
      <w:szCs w:val="29"/>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Salutation"/>
    <w:basedOn w:val="1"/>
    <w:next w:val="1"/>
    <w:qFormat/>
    <w:uiPriority w:val="0"/>
    <w:rPr>
      <w:rFonts w:ascii="Times New Roman" w:hAnsi="Times New Roman" w:eastAsia="宋体" w:cs="Times New Roman"/>
    </w:rPr>
  </w:style>
  <w:style w:type="paragraph" w:styleId="6">
    <w:name w:val="Body Text"/>
    <w:basedOn w:val="1"/>
    <w:qFormat/>
    <w:uiPriority w:val="1"/>
    <w:rPr>
      <w:rFonts w:ascii="宋体" w:hAnsi="宋体" w:eastAsia="宋体" w:cs="宋体"/>
      <w:sz w:val="23"/>
      <w:szCs w:val="23"/>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qFormat/>
    <w:uiPriority w:val="0"/>
    <w:pPr>
      <w:ind w:firstLine="420" w:firstLineChars="2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2479</Words>
  <Characters>2585</Characters>
  <Lines>0</Lines>
  <Paragraphs>0</Paragraphs>
  <TotalTime>6</TotalTime>
  <ScaleCrop>false</ScaleCrop>
  <LinksUpToDate>false</LinksUpToDate>
  <CharactersWithSpaces>2646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Administrator</cp:lastModifiedBy>
  <dcterms:modified xsi:type="dcterms:W3CDTF">2025-09-04T01:59:27Z</dcterms:modified>
  <dc:title>三亚市文物保护单位安防建设设计方案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5933635B956B40CBA94C403FA56CCBBE_12</vt:lpwstr>
  </property>
  <property fmtid="{D5CDD505-2E9C-101B-9397-08002B2CF9AE}" pid="4" name="KSOTemplateDocerSaveRecord">
    <vt:lpwstr>eyJoZGlkIjoiZDVhZDFlNDQ1ZGY3MTVkNDc5ODAwNTVkNThmOGU0YzIiLCJ1c2VySWQiOiIxMDMyNjM0Njk5In0=</vt:lpwstr>
  </property>
</Properties>
</file>