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78" w:lineRule="exact"/>
        <w:ind w:leftChars="0"/>
        <w:jc w:val="both"/>
        <w:rPr>
          <w:rFonts w:hint="default" w:ascii="Times New Roman" w:hAnsi="Times New Roman" w:eastAsia="黑体" w:cs="Times New Roman"/>
          <w:color w:val="000000" w:themeColor="text1"/>
          <w:kern w:val="2"/>
          <w:sz w:val="32"/>
          <w:szCs w:val="32"/>
          <w:lang w:val="zh-CN" w:eastAsia="zh-CN" w:bidi="zh-CN"/>
          <w14:textFill>
            <w14:solidFill>
              <w14:schemeClr w14:val="tx1"/>
            </w14:solidFill>
          </w14:textFill>
        </w:rPr>
      </w:pPr>
      <w:r>
        <w:rPr>
          <w:rFonts w:hint="default" w:ascii="Times New Roman" w:hAnsi="Times New Roman" w:eastAsia="黑体" w:cs="Times New Roman"/>
          <w:color w:val="000000" w:themeColor="text1"/>
          <w:kern w:val="2"/>
          <w:sz w:val="32"/>
          <w:szCs w:val="32"/>
          <w:lang w:val="zh-CN" w:eastAsia="zh-CN" w:bidi="zh-CN"/>
          <w14:textFill>
            <w14:solidFill>
              <w14:schemeClr w14:val="tx1"/>
            </w14:solidFill>
          </w14:textFill>
        </w:rPr>
        <w:t>附件</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2024年三亚市非物质文化遗产代表性</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传承人能力提升培训班项目</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采购需求方案</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2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为更好的传承三亚市非物质文化遗产保护工作，提高三亚市非遗代表性传承人传承传播能力和理论水平，提升非遗保护传承创新性和主观能动性，拟计划2024年12月3日—2024年12月6日开展三亚市非物质文化遗产代表性传承人能力提升培训班，现制定采购需求方案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一、培训</w:t>
      </w:r>
      <w:r>
        <w:rPr>
          <w:rFonts w:hint="default" w:ascii="Times New Roman" w:hAnsi="Times New Roman" w:eastAsia="黑体" w:cs="Times New Roman"/>
          <w:color w:val="000000" w:themeColor="text1"/>
          <w:sz w:val="32"/>
          <w:szCs w:val="32"/>
          <w14:textFill>
            <w14:solidFill>
              <w14:schemeClr w14:val="tx1"/>
            </w14:solidFill>
          </w14:textFill>
        </w:rPr>
        <w:t>主题</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outlineLvl w:val="9"/>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2024年三亚市非物质文化遗产代表性传承人能力提升培训班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二、培训</w:t>
      </w:r>
      <w:r>
        <w:rPr>
          <w:rFonts w:hint="default" w:ascii="Times New Roman" w:hAnsi="Times New Roman" w:eastAsia="黑体" w:cs="Times New Roman"/>
          <w:color w:val="000000" w:themeColor="text1"/>
          <w:sz w:val="32"/>
          <w:szCs w:val="32"/>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三亚市群众艺术馆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黑体" w:cs="Times New Roman"/>
          <w:color w:val="000000" w:themeColor="text1"/>
          <w:sz w:val="32"/>
          <w:szCs w:val="32"/>
          <w:lang w:val="en" w:eastAsia="zh-CN"/>
          <w14:textFill>
            <w14:solidFill>
              <w14:schemeClr w14:val="tx1"/>
            </w14:solidFill>
          </w14:textFill>
        </w:rPr>
      </w:pPr>
      <w:r>
        <w:rPr>
          <w:rFonts w:hint="default" w:ascii="Times New Roman" w:hAnsi="Times New Roman" w:eastAsia="黑体" w:cs="Times New Roman"/>
          <w:color w:val="000000" w:themeColor="text1"/>
          <w:sz w:val="32"/>
          <w:szCs w:val="32"/>
          <w:lang w:val="en" w:eastAsia="zh-CN"/>
          <w14:textFill>
            <w14:solidFill>
              <w14:schemeClr w14:val="tx1"/>
            </w14:solidFill>
          </w14:textFill>
        </w:rPr>
        <w:t>三、食宿地点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待定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四、培训</w:t>
      </w:r>
      <w:r>
        <w:rPr>
          <w:rFonts w:hint="default" w:ascii="Times New Roman" w:hAnsi="Times New Roman" w:eastAsia="黑体" w:cs="Times New Roman"/>
          <w:color w:val="000000" w:themeColor="text1"/>
          <w:sz w:val="32"/>
          <w:szCs w:val="32"/>
          <w14:textFill>
            <w14:solidFill>
              <w14:schemeClr w14:val="tx1"/>
            </w14:solidFill>
          </w14:textFill>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培训时间共4天</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，具体时间待定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五、培训人员</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三亚市级以上非遗代表性传承人、各区负责非遗工作人员及市非遗中心相关人员</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参加，预计参训人数为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120人。</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六</w:t>
      </w:r>
      <w:r>
        <w:rPr>
          <w:rFonts w:hint="default" w:ascii="Times New Roman" w:hAnsi="Times New Roman" w:eastAsia="黑体" w:cs="Times New Roman"/>
          <w:b w:val="0"/>
          <w:bCs w:val="0"/>
          <w:color w:val="000000" w:themeColor="text1"/>
          <w:sz w:val="32"/>
          <w:szCs w:val="32"/>
          <w14:textFill>
            <w14:solidFill>
              <w14:schemeClr w14:val="tx1"/>
            </w14:solidFill>
          </w14:textFill>
        </w:rPr>
        <w:t>、采购方式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 w:eastAsia="zh-CN"/>
          <w14:textFill>
            <w14:solidFill>
              <w14:schemeClr w14:val="tx1"/>
            </w14:solidFill>
          </w14:textFill>
        </w:rPr>
        <w:t>竞争性磋商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七、经费预算</w:t>
      </w:r>
    </w:p>
    <w:p>
      <w:pPr>
        <w:keepNext w:val="0"/>
        <w:keepLines w:val="0"/>
        <w:pageBreakBefore w:val="0"/>
        <w:kinsoku/>
        <w:wordWrap/>
        <w:overflowPunct/>
        <w:topLinePunct w:val="0"/>
        <w:autoSpaceDE/>
        <w:autoSpaceDN/>
        <w:bidi w:val="0"/>
        <w:adjustRightInd/>
        <w:snapToGrid/>
        <w:spacing w:line="578" w:lineRule="exact"/>
        <w:ind w:firstLine="620" w:firstLineChars="20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经费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预算：</w:t>
      </w:r>
      <w:r>
        <w:rPr>
          <w:rFonts w:hint="default" w:ascii="Times New Roman" w:hAnsi="Times New Roman" w:eastAsia="仿宋_GB2312" w:cs="Times New Roman"/>
          <w:i w:val="0"/>
          <w:caps w:val="0"/>
          <w:color w:val="000000" w:themeColor="text1"/>
          <w:spacing w:val="0"/>
          <w:sz w:val="32"/>
          <w:szCs w:val="32"/>
          <w:shd w:val="clear" w:fill="FFFFFF"/>
          <w:vertAlign w:val="baseline"/>
          <w:lang w:val="en-US" w:eastAsia="zh-CN"/>
          <w14:textFill>
            <w14:solidFill>
              <w14:schemeClr w14:val="tx1"/>
            </w14:solidFill>
          </w14:textFill>
        </w:rPr>
        <w:t>16万元</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（人民币）</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Hans"/>
          <w14:textFill>
            <w14:solidFill>
              <w14:schemeClr w14:val="tx1"/>
            </w14:solidFill>
          </w14:textFill>
        </w:rPr>
        <w:t>包含发票税费等以及国家规定的各项费用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，超出此控制价无效</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14:textFill>
            <w14:solidFill>
              <w14:schemeClr w14:val="tx1"/>
            </w14:solidFill>
          </w14:textFill>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更好落实中央关于非物质文化遗产工作的决策部署以及省、市工作部署，扎实推进文化遗产系统性保护，深入开展普查、申报、保护、传承、合理利用等工作，推动中华优秀传统文化创造性转化和创新性发展，促进三亚市文化事业和文化产业繁荣发展作出新贡献。根据《三亚市非物质文化遗产工作提升实施方案（2024</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2026年）》工作需要，传承人培训班项目需采购以下服务：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（一）培训课题内容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包含</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中华人民共和国非物质文化遗产法》《国家级非物质文化遗产代表性传承人认定与管理办法》《海南省非物质文化遗产代表性传承人认定与管理办法》《海南省非物质文化遗产规定》《三亚市非物质文化遗产保护规定》等法律规章课题；“市级、省级非物质文化遗产名录普查、申报工作”“三亚市市级、省级和国家级传承人申报条件及申报流程”等规范性课题；传统音乐、民间文学、传统戏剧、民俗传承人收徒传艺、普查收集、创新创作、发展传承等方面课题；传统舞蹈、传统体育、竞技与游艺传承人开展收徒传艺、舞蹈创作、发展传承等方面课题；传统技艺、传统医药传承人收徒传艺、技艺提升、产业化发展等方面课题；针对非遗视频拍摄、网络宣传和网络销售等内容促进非遗宣传与发展等课题；开展非遗保护工作优秀案例分享，传承人主观能动性培养，传承人交流等内容。（二）采购</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服务包括但不限于培训方案、参训人员及讲师邀请、会场布置及会务、餐饮住宿、媒体报道、后勤保障、材料编印、物料运输等与本次培训活动相关的工作内容。</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九</w:t>
      </w:r>
      <w:r>
        <w:rPr>
          <w:rFonts w:hint="default" w:ascii="Times New Roman" w:hAnsi="Times New Roman" w:eastAsia="黑体" w:cs="Times New Roman"/>
          <w:b w:val="0"/>
          <w:bCs w:val="0"/>
          <w:color w:val="000000" w:themeColor="text1"/>
          <w:sz w:val="32"/>
          <w:szCs w:val="32"/>
          <w14:textFill>
            <w14:solidFill>
              <w14:schemeClr w14:val="tx1"/>
            </w14:solidFill>
          </w14:textFill>
        </w:rPr>
        <w:t>、项目实施地点</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三亚市</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十</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工作</w:t>
      </w:r>
      <w:r>
        <w:rPr>
          <w:rFonts w:hint="default" w:ascii="Times New Roman" w:hAnsi="Times New Roman" w:eastAsia="黑体" w:cs="Times New Roman"/>
          <w:b w:val="0"/>
          <w:bCs w:val="0"/>
          <w:color w:val="000000" w:themeColor="text1"/>
          <w:sz w:val="32"/>
          <w:szCs w:val="32"/>
          <w14:textFill>
            <w14:solidFill>
              <w14:schemeClr w14:val="tx1"/>
            </w14:solidFill>
          </w14:textFill>
        </w:rPr>
        <w:t>日程</w:t>
      </w:r>
    </w:p>
    <w:p>
      <w:pPr>
        <w:keepNext w:val="0"/>
        <w:keepLines w:val="0"/>
        <w:pageBreakBefore w:val="0"/>
        <w:widowControl/>
        <w:suppressLineNumbers w:val="0"/>
        <w:wordWrap/>
        <w:overflowPunct/>
        <w:topLinePunct w:val="0"/>
        <w:bidi w:val="0"/>
        <w:spacing w:line="578" w:lineRule="exact"/>
        <w:ind w:firstLine="640" w:firstLineChars="200"/>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报名时间：</w: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eastAsia="zh-CN"/>
          <w14:textFill>
            <w14:solidFill>
              <w14:schemeClr w14:val="tx1"/>
            </w14:solidFill>
          </w14:textFill>
        </w:rPr>
        <w:t>自公告之日起</w: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t>5个工作日</w: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t>法定节假日除外），报名电子邮箱：sywtjwhk@</w: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fldChar w:fldCharType="begin"/>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instrText xml:space="preserve"> HYPERLINK "http://126.com/" \t "/home/user/文档\\x/_blank" </w:instrTex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fldChar w:fldCharType="separate"/>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t>126.com</w:t>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fldChar w:fldCharType="end"/>
      </w:r>
      <w:r>
        <w:rPr>
          <w:rFonts w:hint="default" w:ascii="Times New Roman" w:hAnsi="Times New Roman" w:eastAsia="仿宋_GB2312" w:cs="Times New Roman"/>
          <w:b w:val="0"/>
          <w:bCs w:val="0"/>
          <w:i w:val="0"/>
          <w:caps w:val="0"/>
          <w:color w:val="000000" w:themeColor="text1"/>
          <w:spacing w:val="0"/>
          <w:sz w:val="32"/>
          <w:szCs w:val="32"/>
          <w:shd w:val="clear" w:color="auto" w:fill="FFFFFF"/>
          <w:vertAlign w:val="baseli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评审时间：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4年11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1</w:t>
      </w:r>
      <w:bookmarkStart w:id="0" w:name="_GoBack"/>
      <w:bookmarkEnd w:id="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日（具体时间以邀请函通知为准）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提交</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竞争性磋商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文件，现场评审，公布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采购服务需求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结果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十一</w:t>
      </w:r>
      <w:r>
        <w:rPr>
          <w:rFonts w:hint="default" w:ascii="Times New Roman" w:hAnsi="Times New Roman" w:eastAsia="黑体" w:cs="Times New Roman"/>
          <w:b w:val="0"/>
          <w:bCs w:val="0"/>
          <w:color w:val="000000" w:themeColor="text1"/>
          <w:sz w:val="32"/>
          <w:szCs w:val="32"/>
          <w14:textFill>
            <w14:solidFill>
              <w14:schemeClr w14:val="tx1"/>
            </w14:solidFill>
          </w14:textFill>
        </w:rPr>
        <w:t>、供应商资格要求</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1.符合《政府采购法》第二十二条第一款规定的条件；</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在“信用中国”、“中国政府采购”网站没有列入失信被执行人、重大税收违法失信主体、政府采购严重违法失信行为记录名单的投标人（需提供发布采购文件后至响应文件递交截至时间前的信用查询结果网页截图、信用报告并加盖单位公章）。</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3.其它要求</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（1）在中华人民共和国境内注册、具有独立承担民事责任的能力（提供营业执照或事业单位法人证书）</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（2）具有履行合同所必需的团队/设备和专业技术能力；</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（3）具有依法缴纳税收和社会保障资金的良好记录（提供 202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以来年任意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个月纳税、社保记录凭证并加盖公章）</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（4）参加政府采购活动前三年内，在经营活动中没有重大违法记录（成立不足三年的从成立之日起计算）；</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（5）单位负责人或法定代表人或公司实际控制人为同一人或者存在直接控股、管理关系的不同供应商，或者构成关联企业的不同供应商，不得参加同一合同项下的采购活动。</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4.本项目不接受联合体投标。</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5.投标时必须提交以上相关证明材料。</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6.如出现下列情况之一，本次采购终止：</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（1）递交报价文件后符合资格条件的报价人（不含无效报价）不足三家的；</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（2）出现影响采购工作的违法、违规行为；</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（3）因出现重大变故，需调整或取消采购任务的。</w:t>
      </w:r>
    </w:p>
    <w:p>
      <w:pPr>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十二、评分标准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66"/>
        <w:gridCol w:w="53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61"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2024年三亚市非物质文化遗产代表性传承人能力提升培训班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Times New Roman" w:hAnsi="Times New Roman" w:eastAsia="黑体" w:cs="Times New Roman"/>
                <w:b w:val="0"/>
                <w:bCs w:val="0"/>
                <w:color w:val="000000" w:themeColor="text1"/>
                <w:sz w:val="36"/>
                <w:szCs w:val="36"/>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项目评分标准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20" w:firstLineChars="10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序号</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20" w:firstLineChars="10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名称</w:t>
            </w:r>
          </w:p>
        </w:tc>
        <w:tc>
          <w:tcPr>
            <w:tcW w:w="53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内容</w:t>
            </w:r>
          </w:p>
        </w:tc>
        <w:tc>
          <w:tcPr>
            <w:tcW w:w="13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2"/>
                <w:szCs w:val="22"/>
                <w:vertAlign w:val="baseline"/>
                <w:lang w:val="en-US" w:eastAsia="zh-CN"/>
                <w14:textFill>
                  <w14:solidFill>
                    <w14:schemeClr w14:val="tx1"/>
                  </w14:solidFill>
                </w14:textFill>
              </w:rPr>
              <w:t>1</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价格</w:t>
            </w:r>
          </w:p>
        </w:tc>
        <w:tc>
          <w:tcPr>
            <w:tcW w:w="53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14:textFill>
                  <w14:solidFill>
                    <w14:schemeClr w14:val="tx1"/>
                  </w14:solidFill>
                </w14:textFill>
              </w:rPr>
              <w:t>综合评分法中的价格分统一采用低价优先法计算，即满足</w:t>
            </w:r>
            <w:r>
              <w:rPr>
                <w:rFonts w:hint="default" w:ascii="Times New Roman" w:hAnsi="Times New Roman" w:eastAsia="宋体" w:cs="Times New Roman"/>
                <w:color w:val="000000" w:themeColor="text1"/>
                <w:kern w:val="0"/>
                <w:sz w:val="22"/>
                <w:szCs w:val="22"/>
                <w:lang w:eastAsia="zh-CN"/>
                <w14:textFill>
                  <w14:solidFill>
                    <w14:schemeClr w14:val="tx1"/>
                  </w14:solidFill>
                </w14:textFill>
              </w:rPr>
              <w:t>邀请招标</w:t>
            </w:r>
            <w:r>
              <w:rPr>
                <w:rFonts w:hint="default" w:ascii="Times New Roman" w:hAnsi="Times New Roman" w:eastAsia="宋体" w:cs="Times New Roman"/>
                <w:color w:val="000000" w:themeColor="text1"/>
                <w:kern w:val="0"/>
                <w:sz w:val="22"/>
                <w:szCs w:val="22"/>
                <w14:textFill>
                  <w14:solidFill>
                    <w14:schemeClr w14:val="tx1"/>
                  </w14:solidFill>
                </w14:textFill>
              </w:rPr>
              <w:t>文件要求且最后报价最低的供应商的价格为基准价，其价格分为满分。其他供应商的价格分统一按照下列公式计算：报价得分=（基准价/最后报价）×</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25</w:t>
            </w:r>
            <w:r>
              <w:rPr>
                <w:rFonts w:hint="default" w:ascii="Times New Roman" w:hAnsi="Times New Roman" w:eastAsia="宋体" w:cs="Times New Roman"/>
                <w:color w:val="000000" w:themeColor="text1"/>
                <w:kern w:val="0"/>
                <w:sz w:val="22"/>
                <w:szCs w:val="22"/>
                <w14:textFill>
                  <w14:solidFill>
                    <w14:schemeClr w14:val="tx1"/>
                  </w14:solidFill>
                </w14:textFill>
              </w:rPr>
              <w:t>%×100</w:t>
            </w:r>
          </w:p>
        </w:tc>
        <w:tc>
          <w:tcPr>
            <w:tcW w:w="13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2"/>
                <w:szCs w:val="22"/>
                <w:vertAlign w:val="baseline"/>
                <w:lang w:val="en-US" w:eastAsia="zh-CN"/>
                <w14:textFill>
                  <w14:solidFill>
                    <w14:schemeClr w14:val="tx1"/>
                  </w14:solidFill>
                </w14:textFill>
              </w:rPr>
              <w:t>2</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业绩</w:t>
            </w:r>
          </w:p>
        </w:tc>
        <w:tc>
          <w:tcPr>
            <w:tcW w:w="5300" w:type="dxa"/>
            <w:noWrap w:val="0"/>
            <w:vAlign w:val="center"/>
          </w:tcPr>
          <w:p>
            <w:pPr>
              <w:keepNext w:val="0"/>
              <w:keepLines w:val="0"/>
              <w:pageBreakBefore w:val="0"/>
              <w:widowControl/>
              <w:numPr>
                <w:ilvl w:val="0"/>
                <w:numId w:val="0"/>
              </w:numPr>
              <w:suppressLineNumbers w:val="0"/>
              <w:tabs>
                <w:tab w:val="left" w:pos="1220"/>
              </w:tabs>
              <w:kinsoku/>
              <w:wordWrap/>
              <w:overflowPunct/>
              <w:topLinePunct w:val="0"/>
              <w:autoSpaceDE/>
              <w:autoSpaceDN/>
              <w:bidi w:val="0"/>
              <w:adjustRightInd/>
              <w:snapToGrid/>
              <w:spacing w:before="0" w:beforeAutospacing="0" w:after="0" w:afterAutospacing="0" w:line="420" w:lineRule="exact"/>
              <w:ind w:left="0" w:right="0" w:firstLine="0" w:firstLineChars="0"/>
              <w:jc w:val="both"/>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bidi="ar"/>
                <w14:textFill>
                  <w14:solidFill>
                    <w14:schemeClr w14:val="tx1"/>
                  </w14:solidFill>
                </w14:textFill>
              </w:rPr>
              <w:t>供应商需提供2021年至今类似项目业绩，每提供一份得4分，本项满分</w:t>
            </w:r>
            <w:r>
              <w:rPr>
                <w:rFonts w:hint="default" w:ascii="Times New Roman" w:hAnsi="Times New Roman" w:cs="Times New Roman"/>
                <w:color w:val="000000" w:themeColor="text1"/>
                <w:kern w:val="0"/>
                <w:sz w:val="22"/>
                <w:szCs w:val="22"/>
                <w:lang w:val="en-US" w:eastAsia="zh-CN" w:bidi="ar"/>
                <w14:textFill>
                  <w14:solidFill>
                    <w14:schemeClr w14:val="tx1"/>
                  </w14:solidFill>
                </w14:textFill>
              </w:rPr>
              <w:t>20</w:t>
            </w:r>
            <w:r>
              <w:rPr>
                <w:rFonts w:hint="default" w:ascii="Times New Roman" w:hAnsi="Times New Roman" w:eastAsia="宋体" w:cs="Times New Roman"/>
                <w:color w:val="000000" w:themeColor="text1"/>
                <w:kern w:val="0"/>
                <w:sz w:val="22"/>
                <w:szCs w:val="22"/>
                <w:lang w:val="en-US" w:eastAsia="zh-CN" w:bidi="ar"/>
                <w14:textFill>
                  <w14:solidFill>
                    <w14:schemeClr w14:val="tx1"/>
                  </w14:solidFill>
                </w14:textFill>
              </w:rPr>
              <w:t>分要求如下：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bidi="ar"/>
                <w14:textFill>
                  <w14:solidFill>
                    <w14:schemeClr w14:val="tx1"/>
                  </w14:solidFill>
                </w14:textFill>
              </w:rPr>
              <w:t>注：投标人必须提供合同复印件</w:t>
            </w:r>
            <w:r>
              <w:rPr>
                <w:rFonts w:hint="default" w:ascii="Times New Roman" w:hAnsi="Times New Roman" w:cs="Times New Roman"/>
                <w:color w:val="000000" w:themeColor="text1"/>
                <w:kern w:val="0"/>
                <w:sz w:val="22"/>
                <w:szCs w:val="22"/>
                <w:lang w:val="en-US" w:eastAsia="zh-CN" w:bidi="ar"/>
                <w14:textFill>
                  <w14:solidFill>
                    <w14:schemeClr w14:val="tx1"/>
                  </w14:solidFill>
                </w14:textFill>
              </w:rPr>
              <w:t>或</w:t>
            </w:r>
            <w:r>
              <w:rPr>
                <w:rFonts w:hint="default" w:ascii="Times New Roman" w:hAnsi="Times New Roman" w:eastAsia="宋体" w:cs="Times New Roman"/>
                <w:color w:val="000000" w:themeColor="text1"/>
                <w:kern w:val="0"/>
                <w:sz w:val="22"/>
                <w:szCs w:val="22"/>
                <w:lang w:val="en-US" w:eastAsia="zh-CN" w:bidi="ar"/>
                <w14:textFill>
                  <w14:solidFill>
                    <w14:schemeClr w14:val="tx1"/>
                  </w14:solidFill>
                </w14:textFill>
              </w:rPr>
              <w:t>验收材料等，未按要求提供的不得分。</w:t>
            </w:r>
          </w:p>
        </w:tc>
        <w:tc>
          <w:tcPr>
            <w:tcW w:w="13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2"/>
                <w:szCs w:val="22"/>
                <w:vertAlign w:val="baseli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2"/>
                <w:szCs w:val="22"/>
                <w:vertAlign w:val="baseline"/>
                <w:lang w:val="en-US" w:eastAsia="zh-CN"/>
                <w14:textFill>
                  <w14:solidFill>
                    <w14:schemeClr w14:val="tx1"/>
                  </w14:solidFill>
                </w14:textFill>
              </w:rPr>
              <w:t>3</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人员配置</w:t>
            </w:r>
          </w:p>
        </w:tc>
        <w:tc>
          <w:tcPr>
            <w:tcW w:w="53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保证本项目的售后服务有保障，供应</w:t>
            </w:r>
            <w:r>
              <w:rPr>
                <w:rFonts w:hint="default" w:ascii="Times New Roman" w:hAnsi="Times New Roman" w:eastAsia="宋体" w:cs="Times New Roman"/>
                <w:color w:val="000000" w:themeColor="text1"/>
                <w:kern w:val="0"/>
                <w:sz w:val="22"/>
                <w:szCs w:val="22"/>
                <w14:textFill>
                  <w14:solidFill>
                    <w14:schemeClr w14:val="tx1"/>
                  </w14:solidFill>
                </w14:textFill>
              </w:rPr>
              <w:t>商拟投入本项目</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技术力量：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default" w:ascii="Times New Roman" w:hAnsi="Times New Roman" w:cs="Times New Roman"/>
                <w:color w:val="000000" w:themeColor="text1"/>
                <w:kern w:val="0"/>
                <w:sz w:val="22"/>
                <w:szCs w:val="22"/>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副教授以上人员每投入一名得</w:t>
            </w:r>
            <w:r>
              <w:rPr>
                <w:rFonts w:hint="default" w:ascii="Times New Roman" w:hAnsi="Times New Roman"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分，满分</w:t>
            </w:r>
            <w:r>
              <w:rPr>
                <w:rFonts w:hint="default" w:ascii="Times New Roman" w:hAnsi="Times New Roman"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default" w:ascii="Times New Roman" w:hAnsi="Times New Roman" w:cs="Times New Roman"/>
                <w:color w:val="000000" w:themeColor="text1"/>
                <w:kern w:val="0"/>
                <w:sz w:val="22"/>
                <w:szCs w:val="22"/>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国家级传承人每提供一名得1分，满分5分；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本项满分20分。</w:t>
            </w:r>
          </w:p>
        </w:tc>
        <w:tc>
          <w:tcPr>
            <w:tcW w:w="13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2"/>
                <w:szCs w:val="22"/>
                <w:vertAlign w:val="baseline"/>
                <w:lang w:val="en-US" w:eastAsia="zh-CN"/>
                <w14:textFill>
                  <w14:solidFill>
                    <w14:schemeClr w14:val="tx1"/>
                  </w14:solidFill>
                </w14:textFill>
              </w:rPr>
              <w:t>4</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培训实施方案及服务承诺</w:t>
            </w:r>
          </w:p>
        </w:tc>
        <w:tc>
          <w:tcPr>
            <w:tcW w:w="53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both"/>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根据供应商提供的项目</w:t>
            </w:r>
            <w:r>
              <w:rPr>
                <w:rFonts w:hint="default" w:ascii="Times New Roman" w:hAnsi="Times New Roman" w:cs="Times New Roman"/>
                <w:color w:val="000000" w:themeColor="text1"/>
                <w:kern w:val="0"/>
                <w:sz w:val="22"/>
                <w:szCs w:val="22"/>
                <w:lang w:val="en-US" w:eastAsia="zh-CN"/>
                <w14:textFill>
                  <w14:solidFill>
                    <w14:schemeClr w14:val="tx1"/>
                  </w14:solidFill>
                </w14:textFill>
              </w:rPr>
              <w:t>总体方案、保证措施、实施流程、</w:t>
            </w:r>
            <w:r>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t>服务承诺、</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成果编制标准和依据等内容的详细完善程度进行评分：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优秀分</w:t>
            </w:r>
            <w:r>
              <w:rPr>
                <w:rFonts w:hint="default" w:ascii="Times New Roman" w:hAnsi="Times New Roman" w:cs="Times New Roman"/>
                <w:color w:val="000000" w:themeColor="text1"/>
                <w:kern w:val="0"/>
                <w:sz w:val="22"/>
                <w:szCs w:val="22"/>
                <w:lang w:val="en" w:eastAsia="zh-CN"/>
                <w14:textFill>
                  <w14:solidFill>
                    <w14:schemeClr w14:val="tx1"/>
                  </w14:solidFill>
                </w14:textFill>
              </w:rPr>
              <w:t>25-35</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、良好</w:t>
            </w:r>
            <w:r>
              <w:rPr>
                <w:rFonts w:hint="default" w:ascii="Times New Roman" w:hAnsi="Times New Roman" w:cs="Times New Roman"/>
                <w:color w:val="000000" w:themeColor="text1"/>
                <w:kern w:val="0"/>
                <w:sz w:val="22"/>
                <w:szCs w:val="22"/>
                <w:lang w:val="en" w:eastAsia="zh-CN"/>
                <w14:textFill>
                  <w14:solidFill>
                    <w14:schemeClr w14:val="tx1"/>
                  </w14:solidFill>
                </w14:textFill>
              </w:rPr>
              <w:t>13-24</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分、一般0-</w:t>
            </w:r>
            <w:r>
              <w:rPr>
                <w:rFonts w:hint="default" w:ascii="Times New Roman" w:hAnsi="Times New Roman" w:cs="Times New Roman"/>
                <w:color w:val="000000" w:themeColor="text1"/>
                <w:kern w:val="0"/>
                <w:sz w:val="22"/>
                <w:szCs w:val="22"/>
                <w:lang w:val="en" w:eastAsia="zh-CN"/>
                <w14:textFill>
                  <w14:solidFill>
                    <w14:schemeClr w14:val="tx1"/>
                  </w14:solidFill>
                </w14:textFill>
              </w:rPr>
              <w:t>12</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分，本项满分</w:t>
            </w:r>
            <w:r>
              <w:rPr>
                <w:rFonts w:hint="default" w:ascii="Times New Roman" w:hAnsi="Times New Roman" w:cs="Times New Roman"/>
                <w:color w:val="000000" w:themeColor="text1"/>
                <w:kern w:val="0"/>
                <w:sz w:val="22"/>
                <w:szCs w:val="22"/>
                <w:lang w:val="en-US" w:eastAsia="zh-CN"/>
                <w14:textFill>
                  <w14:solidFill>
                    <w14:schemeClr w14:val="tx1"/>
                  </w14:solidFill>
                </w14:textFill>
              </w:rPr>
              <w:t>35</w:t>
            </w:r>
            <w: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t>分。</w:t>
            </w:r>
          </w:p>
        </w:tc>
        <w:tc>
          <w:tcPr>
            <w:tcW w:w="13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Times New Roman" w:hAnsi="Times New Roman" w:eastAsia="宋体" w:cs="Times New Roman"/>
                <w:b w:val="0"/>
                <w:bCs w:val="0"/>
                <w:color w:val="000000" w:themeColor="text1"/>
                <w:kern w:val="0"/>
                <w:sz w:val="22"/>
                <w:szCs w:val="22"/>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2"/>
                <w:szCs w:val="22"/>
                <w:vertAlign w:val="baseline"/>
                <w:lang w:val="en-US" w:eastAsia="zh-CN"/>
                <w14:textFill>
                  <w14:solidFill>
                    <w14:schemeClr w14:val="tx1"/>
                  </w14:solidFill>
                </w14:textFill>
              </w:rPr>
              <w:t>35</w:t>
            </w:r>
          </w:p>
        </w:tc>
      </w:tr>
    </w:tbl>
    <w:p>
      <w:pPr>
        <w:pStyle w:val="3"/>
        <w:keepNext w:val="0"/>
        <w:keepLines w:val="0"/>
        <w:pageBreakBefore w:val="0"/>
        <w:kinsoku/>
        <w:wordWrap/>
        <w:overflowPunct/>
        <w:topLinePunct w:val="0"/>
        <w:autoSpaceDE/>
        <w:autoSpaceDN/>
        <w:bidi w:val="0"/>
        <w:adjustRightInd/>
        <w:snapToGrid/>
        <w:spacing w:line="578" w:lineRule="exact"/>
        <w:ind w:left="0" w:leftChars="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十三</w:t>
      </w:r>
      <w:r>
        <w:rPr>
          <w:rFonts w:hint="default" w:ascii="Times New Roman" w:hAnsi="Times New Roman" w:eastAsia="黑体" w:cs="Times New Roman"/>
          <w:b w:val="0"/>
          <w:bCs w:val="0"/>
          <w:color w:val="000000" w:themeColor="text1"/>
          <w:sz w:val="32"/>
          <w:szCs w:val="32"/>
          <w14:textFill>
            <w14:solidFill>
              <w14:schemeClr w14:val="tx1"/>
            </w14:solidFill>
          </w14:textFill>
        </w:rPr>
        <w:t>、获取采购文件及报价文件提交</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获取采购文件：见邀请函附件</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报价文件有效期：自报价文件开启之日起</w:t>
      </w: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30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天</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报价文件份数：</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一式四</w:t>
      </w: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份</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提交方式 ：现场递交 </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采购人：三亚市旅游和文化广电体育局</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地址：三亚市国际体育产业园市旅文局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会议室</w:t>
      </w:r>
    </w:p>
    <w:p>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联系人：</w:t>
      </w:r>
      <w:r>
        <w:rPr>
          <w:rFonts w:hint="default" w:ascii="Times New Roman" w:hAnsi="Times New Roman" w:eastAsia="仿宋_GB2312" w:cs="Times New Roman"/>
          <w:b w:val="0"/>
          <w:bCs w:val="0"/>
          <w:color w:val="000000" w:themeColor="text1"/>
          <w:sz w:val="32"/>
          <w:szCs w:val="32"/>
          <w:lang w:val="en" w:eastAsia="zh-CN"/>
          <w14:textFill>
            <w14:solidFill>
              <w14:schemeClr w14:val="tx1"/>
            </w14:solidFill>
          </w14:textFill>
        </w:rPr>
        <w:t>文化与艺术科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，电话：</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88266934</w:t>
      </w:r>
    </w:p>
    <w:p>
      <w:pPr>
        <w:keepNext w:val="0"/>
        <w:keepLines w:val="0"/>
        <w:pageBreakBefore w:val="0"/>
        <w:kinsoku/>
        <w:wordWrap/>
        <w:overflowPunct/>
        <w:topLinePunct w:val="0"/>
        <w:autoSpaceDE/>
        <w:autoSpaceDN/>
        <w:bidi w:val="0"/>
        <w:adjustRightInd/>
        <w:snapToGrid/>
        <w:spacing w:line="578" w:lineRule="exact"/>
        <w:ind w:left="0" w:firstLine="640" w:firstLineChars="200"/>
        <w:jc w:val="righ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报价</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竞争性磋商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文件由单位自行保管</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密封）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竞争性磋商</w:t>
      </w:r>
      <w:r>
        <w:rPr>
          <w:rFonts w:hint="eastAsia" w:eastAsia="仿宋_GB2312" w:cs="Times New Roman"/>
          <w:b w:val="0"/>
          <w:bCs w:val="0"/>
          <w:color w:val="000000" w:themeColor="text1"/>
          <w:sz w:val="32"/>
          <w:szCs w:val="32"/>
          <w:lang w:eastAsia="zh-CN"/>
          <w14:textFill>
            <w14:solidFill>
              <w14:schemeClr w14:val="tx1"/>
            </w14:solidFill>
          </w14:textFill>
        </w:rPr>
        <w:t>评审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当日在现场打开，无需提前递交。</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Chars="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mFmMTJiMGY0MDcyMjYyMDQzNDRkODdjMjllZTMifQ=="/>
  </w:docVars>
  <w:rsids>
    <w:rsidRoot w:val="6EF7713E"/>
    <w:rsid w:val="0EBD09FF"/>
    <w:rsid w:val="17AA1863"/>
    <w:rsid w:val="1FFF18CD"/>
    <w:rsid w:val="21784C18"/>
    <w:rsid w:val="2FFF19FE"/>
    <w:rsid w:val="35FF72A9"/>
    <w:rsid w:val="373E6008"/>
    <w:rsid w:val="3BFE29CF"/>
    <w:rsid w:val="3DDFFD0A"/>
    <w:rsid w:val="3DFAAAC3"/>
    <w:rsid w:val="3FB1AB94"/>
    <w:rsid w:val="3FBF3DDB"/>
    <w:rsid w:val="3FDA16EA"/>
    <w:rsid w:val="3FED368D"/>
    <w:rsid w:val="47F5F3CB"/>
    <w:rsid w:val="4BFB2379"/>
    <w:rsid w:val="4DFBF0B6"/>
    <w:rsid w:val="57F7CA6C"/>
    <w:rsid w:val="59FED72C"/>
    <w:rsid w:val="5B6BD6C1"/>
    <w:rsid w:val="5BBF3E3B"/>
    <w:rsid w:val="5D9E884D"/>
    <w:rsid w:val="5DD6EEAC"/>
    <w:rsid w:val="5DF77109"/>
    <w:rsid w:val="5DFA806A"/>
    <w:rsid w:val="5DFF0436"/>
    <w:rsid w:val="5EEF323A"/>
    <w:rsid w:val="5F4DAFF9"/>
    <w:rsid w:val="5F6B946E"/>
    <w:rsid w:val="5F7AFB66"/>
    <w:rsid w:val="5FB648EC"/>
    <w:rsid w:val="5FB6B38F"/>
    <w:rsid w:val="5FFDC8B3"/>
    <w:rsid w:val="627E78DE"/>
    <w:rsid w:val="681FC7DB"/>
    <w:rsid w:val="6E39C69D"/>
    <w:rsid w:val="6EF7713E"/>
    <w:rsid w:val="6EFE1856"/>
    <w:rsid w:val="6EFF74B1"/>
    <w:rsid w:val="6F2FE926"/>
    <w:rsid w:val="6FFB32F0"/>
    <w:rsid w:val="6FFF2575"/>
    <w:rsid w:val="732FA528"/>
    <w:rsid w:val="745C52F6"/>
    <w:rsid w:val="754FBA6F"/>
    <w:rsid w:val="75DFEB15"/>
    <w:rsid w:val="76FCBF94"/>
    <w:rsid w:val="77B640C8"/>
    <w:rsid w:val="79FE9ED2"/>
    <w:rsid w:val="7BBF5AE9"/>
    <w:rsid w:val="7BD71AC3"/>
    <w:rsid w:val="7BE98FB5"/>
    <w:rsid w:val="7C35B90E"/>
    <w:rsid w:val="7C7B385F"/>
    <w:rsid w:val="7CACAD86"/>
    <w:rsid w:val="7CB6DFD8"/>
    <w:rsid w:val="7CFFDD60"/>
    <w:rsid w:val="7D6A7CB8"/>
    <w:rsid w:val="7DB290AB"/>
    <w:rsid w:val="7DBFB1E6"/>
    <w:rsid w:val="7DE70AE5"/>
    <w:rsid w:val="7E6791FC"/>
    <w:rsid w:val="7EB55003"/>
    <w:rsid w:val="7F7D996F"/>
    <w:rsid w:val="7FD76FBD"/>
    <w:rsid w:val="7FDC42AD"/>
    <w:rsid w:val="7FDFB75E"/>
    <w:rsid w:val="7FFF7E09"/>
    <w:rsid w:val="87E1A94D"/>
    <w:rsid w:val="95FF0ECE"/>
    <w:rsid w:val="9B6E3370"/>
    <w:rsid w:val="9EEFF9B6"/>
    <w:rsid w:val="AE3FD433"/>
    <w:rsid w:val="AF772FC9"/>
    <w:rsid w:val="B17A2D7F"/>
    <w:rsid w:val="B2DF6391"/>
    <w:rsid w:val="B5EF715F"/>
    <w:rsid w:val="B5EF9AF7"/>
    <w:rsid w:val="BADFC848"/>
    <w:rsid w:val="BB9F1BF8"/>
    <w:rsid w:val="BCDF8BA6"/>
    <w:rsid w:val="BEFF82D0"/>
    <w:rsid w:val="BFB9B34F"/>
    <w:rsid w:val="BFB9F883"/>
    <w:rsid w:val="BFF3EC7F"/>
    <w:rsid w:val="BFFA825C"/>
    <w:rsid w:val="BFFFE8DD"/>
    <w:rsid w:val="C7BF81DE"/>
    <w:rsid w:val="CEB619CF"/>
    <w:rsid w:val="CFF56C30"/>
    <w:rsid w:val="CFF6D07A"/>
    <w:rsid w:val="D343CB7F"/>
    <w:rsid w:val="DB79EB07"/>
    <w:rsid w:val="DBB7C729"/>
    <w:rsid w:val="DDEF4B5C"/>
    <w:rsid w:val="DDFFB7BF"/>
    <w:rsid w:val="DE7F09FA"/>
    <w:rsid w:val="DFCFCFA9"/>
    <w:rsid w:val="DFEF1297"/>
    <w:rsid w:val="DFFBBC22"/>
    <w:rsid w:val="E6F3680E"/>
    <w:rsid w:val="E6FD5271"/>
    <w:rsid w:val="E9FFD185"/>
    <w:rsid w:val="EB4BD6C1"/>
    <w:rsid w:val="ED7FDEC8"/>
    <w:rsid w:val="EDF845EC"/>
    <w:rsid w:val="EEFDCD61"/>
    <w:rsid w:val="EF778E07"/>
    <w:rsid w:val="EF9BC11D"/>
    <w:rsid w:val="EFAA7865"/>
    <w:rsid w:val="EFD53CFE"/>
    <w:rsid w:val="EFDF9586"/>
    <w:rsid w:val="EFFA0574"/>
    <w:rsid w:val="F4E76420"/>
    <w:rsid w:val="F5B9CFDA"/>
    <w:rsid w:val="F6FFD129"/>
    <w:rsid w:val="F7DE8B15"/>
    <w:rsid w:val="F7DF4672"/>
    <w:rsid w:val="F9DF26BC"/>
    <w:rsid w:val="F9FFE4FC"/>
    <w:rsid w:val="FB9F5625"/>
    <w:rsid w:val="FCFB8596"/>
    <w:rsid w:val="FD6DC140"/>
    <w:rsid w:val="FDAF068C"/>
    <w:rsid w:val="FDFBABE2"/>
    <w:rsid w:val="FDFF647C"/>
    <w:rsid w:val="FE6FE50C"/>
    <w:rsid w:val="FEF11F7A"/>
    <w:rsid w:val="FEFD045D"/>
    <w:rsid w:val="FF9FB59E"/>
    <w:rsid w:val="FFA5770F"/>
    <w:rsid w:val="FFDB1835"/>
    <w:rsid w:val="FFDF24DF"/>
    <w:rsid w:val="FFFD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469"/>
      <w:outlineLvl w:val="0"/>
    </w:pPr>
    <w:rPr>
      <w:rFonts w:ascii="宋体" w:hAnsi="宋体" w:eastAsia="宋体" w:cs="宋体"/>
      <w:sz w:val="31"/>
      <w:szCs w:val="31"/>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597</Words>
  <Characters>675</Characters>
  <Lines>1</Lines>
  <Paragraphs>1</Paragraphs>
  <TotalTime>0</TotalTime>
  <ScaleCrop>false</ScaleCrop>
  <LinksUpToDate>false</LinksUpToDate>
  <CharactersWithSpaces>687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2024-08-15T16:32:00Z</dcterms:created>
  <dc:creator>Fuir</dc:creator>
  <cp:lastModifiedBy>user</cp:lastModifiedBy>
  <cp:lastPrinted>2024-11-08T01:16:00Z</cp:lastPrinted>
  <dcterms:modified xsi:type="dcterms:W3CDTF">2024-11-12T15:56:05Z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F5EE4EB4431A40288150B70C17CAE195_13</vt:lpwstr>
  </property>
</Properties>
</file>