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keepLines w:val="0"/>
        <w:pageBreakBefore w:val="0"/>
        <w:widowControl/>
        <w:kinsoku/>
        <w:wordWrap/>
        <w:overflowPunct/>
        <w:topLinePunct w:val="0"/>
        <w:autoSpaceDE/>
        <w:autoSpaceDN/>
        <w:bidi w:val="0"/>
        <w:adjustRightInd/>
        <w:snapToGrid/>
        <w:spacing w:before="0" w:after="0" w:line="240" w:lineRule="auto"/>
        <w:jc w:val="left"/>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附件</w:t>
      </w:r>
    </w:p>
    <w:p>
      <w:pPr>
        <w:pStyle w:val="8"/>
        <w:keepNext/>
        <w:keepLines w:val="0"/>
        <w:pageBreakBefore w:val="0"/>
        <w:widowControl/>
        <w:kinsoku/>
        <w:wordWrap/>
        <w:overflowPunct/>
        <w:topLinePunct w:val="0"/>
        <w:autoSpaceDE/>
        <w:autoSpaceDN/>
        <w:bidi w:val="0"/>
        <w:adjustRightInd/>
        <w:snapToGrid/>
        <w:spacing w:before="0" w:after="0" w:line="240" w:lineRule="auto"/>
        <w:jc w:val="center"/>
        <w:textAlignment w:val="auto"/>
        <w:rPr>
          <w:rFonts w:ascii="Times New Roman" w:hAnsi="Times New Roman" w:eastAsia="微软简标宋" w:cs="Times New Roman"/>
          <w:kern w:val="2"/>
          <w:sz w:val="40"/>
          <w:szCs w:val="48"/>
        </w:rPr>
      </w:pPr>
      <w:r>
        <w:rPr>
          <w:rFonts w:ascii="Times New Roman" w:hAnsi="Times New Roman" w:eastAsia="微软简标宋" w:cs="Times New Roman"/>
          <w:kern w:val="2"/>
          <w:sz w:val="40"/>
          <w:szCs w:val="48"/>
        </w:rPr>
        <w:t>《</w:t>
      </w:r>
      <w:r>
        <w:rPr>
          <w:rFonts w:hint="eastAsia" w:ascii="Times New Roman" w:hAnsi="Times New Roman" w:eastAsia="微软简标宋" w:cs="Times New Roman"/>
          <w:kern w:val="2"/>
          <w:sz w:val="40"/>
          <w:szCs w:val="48"/>
          <w:lang w:val="en-US" w:eastAsia="zh-CN"/>
        </w:rPr>
        <w:t>三亚</w:t>
      </w:r>
      <w:bookmarkStart w:id="0" w:name="_GoBack"/>
      <w:bookmarkEnd w:id="0"/>
      <w:r>
        <w:rPr>
          <w:rFonts w:hint="eastAsia" w:ascii="Times New Roman" w:hAnsi="Times New Roman" w:eastAsia="微软简标宋" w:cs="Times New Roman"/>
          <w:kern w:val="2"/>
          <w:sz w:val="40"/>
          <w:szCs w:val="48"/>
          <w:lang w:val="en-US" w:eastAsia="zh-CN"/>
        </w:rPr>
        <w:t>市沙滩旅游管理办法</w:t>
      </w:r>
      <w:r>
        <w:rPr>
          <w:rFonts w:ascii="Times New Roman" w:hAnsi="Times New Roman" w:eastAsia="微软简标宋" w:cs="Times New Roman"/>
          <w:kern w:val="2"/>
          <w:sz w:val="40"/>
          <w:szCs w:val="48"/>
        </w:rPr>
        <w:t>》</w:t>
      </w:r>
    </w:p>
    <w:p>
      <w:pPr>
        <w:pStyle w:val="8"/>
        <w:keepNext/>
        <w:keepLines w:val="0"/>
        <w:pageBreakBefore w:val="0"/>
        <w:widowControl/>
        <w:kinsoku/>
        <w:wordWrap/>
        <w:overflowPunct/>
        <w:topLinePunct w:val="0"/>
        <w:autoSpaceDE/>
        <w:autoSpaceDN/>
        <w:bidi w:val="0"/>
        <w:adjustRightInd/>
        <w:snapToGrid/>
        <w:spacing w:before="313" w:beforeLines="100" w:line="400" w:lineRule="exact"/>
        <w:jc w:val="center"/>
        <w:textAlignment w:val="auto"/>
        <w:rPr>
          <w:rFonts w:ascii="Times New Roman" w:hAnsi="Times New Roman" w:eastAsia="微软简标宋" w:cs="Times New Roman"/>
          <w:kern w:val="2"/>
          <w:sz w:val="40"/>
          <w:szCs w:val="48"/>
        </w:rPr>
      </w:pPr>
      <w:r>
        <w:rPr>
          <w:rFonts w:ascii="Times New Roman" w:hAnsi="Times New Roman" w:eastAsia="微软简标宋" w:cs="Times New Roman"/>
          <w:kern w:val="2"/>
          <w:sz w:val="40"/>
          <w:szCs w:val="48"/>
        </w:rPr>
        <w:t>市相关单位</w:t>
      </w:r>
      <w:r>
        <w:rPr>
          <w:rFonts w:hint="eastAsia" w:ascii="Times New Roman" w:hAnsi="Times New Roman" w:eastAsia="微软简标宋" w:cs="Times New Roman"/>
          <w:kern w:val="2"/>
          <w:sz w:val="40"/>
          <w:szCs w:val="48"/>
          <w:lang w:val="en-US" w:eastAsia="zh-CN"/>
        </w:rPr>
        <w:t>/公众</w:t>
      </w:r>
      <w:r>
        <w:rPr>
          <w:rFonts w:hint="eastAsia" w:ascii="Times New Roman" w:hAnsi="Times New Roman" w:eastAsia="微软简标宋" w:cs="Times New Roman"/>
          <w:kern w:val="2"/>
          <w:sz w:val="40"/>
          <w:szCs w:val="48"/>
        </w:rPr>
        <w:t>意见采纳情况</w:t>
      </w:r>
      <w:r>
        <w:rPr>
          <w:rFonts w:ascii="Times New Roman" w:hAnsi="Times New Roman" w:eastAsia="微软简标宋" w:cs="Times New Roman"/>
          <w:kern w:val="2"/>
          <w:sz w:val="40"/>
          <w:szCs w:val="48"/>
        </w:rPr>
        <w:t>汇总表</w:t>
      </w:r>
    </w:p>
    <w:tbl>
      <w:tblPr>
        <w:tblStyle w:val="6"/>
        <w:tblpPr w:leftFromText="180" w:rightFromText="180" w:vertAnchor="text" w:tblpXSpec="center" w:tblpY="1"/>
        <w:tblOverlap w:val="never"/>
        <w:tblW w:w="10978" w:type="dxa"/>
        <w:tblInd w:w="0" w:type="dxa"/>
        <w:tblLayout w:type="fixed"/>
        <w:tblCellMar>
          <w:top w:w="0" w:type="dxa"/>
          <w:left w:w="108" w:type="dxa"/>
          <w:bottom w:w="0" w:type="dxa"/>
          <w:right w:w="108" w:type="dxa"/>
        </w:tblCellMar>
      </w:tblPr>
      <w:tblGrid>
        <w:gridCol w:w="600"/>
        <w:gridCol w:w="1669"/>
        <w:gridCol w:w="4221"/>
        <w:gridCol w:w="2279"/>
        <w:gridCol w:w="2209"/>
      </w:tblGrid>
      <w:tr>
        <w:tblPrEx>
          <w:tblCellMar>
            <w:top w:w="0" w:type="dxa"/>
            <w:left w:w="108" w:type="dxa"/>
            <w:bottom w:w="0" w:type="dxa"/>
            <w:right w:w="108" w:type="dxa"/>
          </w:tblCellMar>
        </w:tblPrEx>
        <w:trPr>
          <w:trHeight w:val="477" w:hRule="atLeast"/>
        </w:trPr>
        <w:tc>
          <w:tcPr>
            <w:tcW w:w="600" w:type="dxa"/>
            <w:tcBorders>
              <w:top w:val="single" w:color="auto" w:sz="4" w:space="0"/>
              <w:left w:val="single" w:color="auto" w:sz="4" w:space="0"/>
              <w:bottom w:val="single" w:color="auto" w:sz="4" w:space="0"/>
              <w:right w:val="single" w:color="auto" w:sz="4" w:space="0"/>
            </w:tcBorders>
            <w:shd w:val="clear" w:color="auto" w:fill="C7DAF1"/>
            <w:noWrap w:val="0"/>
            <w:vAlign w:val="center"/>
          </w:tcPr>
          <w:p>
            <w:pPr>
              <w:spacing w:line="400" w:lineRule="exact"/>
              <w:jc w:val="center"/>
              <w:rPr>
                <w:rFonts w:eastAsia="黑体"/>
                <w:sz w:val="32"/>
                <w:szCs w:val="32"/>
              </w:rPr>
            </w:pPr>
            <w:r>
              <w:rPr>
                <w:rFonts w:eastAsia="黑体"/>
                <w:sz w:val="32"/>
                <w:szCs w:val="32"/>
              </w:rPr>
              <w:t>序号</w:t>
            </w:r>
          </w:p>
        </w:tc>
        <w:tc>
          <w:tcPr>
            <w:tcW w:w="1669" w:type="dxa"/>
            <w:tcBorders>
              <w:top w:val="single" w:color="auto" w:sz="4" w:space="0"/>
              <w:left w:val="nil"/>
              <w:bottom w:val="single" w:color="auto" w:sz="4" w:space="0"/>
              <w:right w:val="single" w:color="auto" w:sz="4" w:space="0"/>
            </w:tcBorders>
            <w:shd w:val="clear" w:color="auto" w:fill="C7DAF1"/>
            <w:noWrap w:val="0"/>
            <w:vAlign w:val="center"/>
          </w:tcPr>
          <w:p>
            <w:pPr>
              <w:spacing w:line="400" w:lineRule="exact"/>
              <w:jc w:val="center"/>
              <w:rPr>
                <w:rFonts w:hint="default" w:eastAsia="黑体"/>
                <w:sz w:val="32"/>
                <w:szCs w:val="32"/>
                <w:lang w:val="en-US" w:eastAsia="zh-CN"/>
              </w:rPr>
            </w:pPr>
            <w:r>
              <w:rPr>
                <w:rFonts w:eastAsia="黑体"/>
                <w:sz w:val="32"/>
                <w:szCs w:val="32"/>
              </w:rPr>
              <w:t>提出单位</w:t>
            </w:r>
            <w:r>
              <w:rPr>
                <w:rFonts w:hint="eastAsia" w:eastAsia="黑体"/>
                <w:sz w:val="32"/>
                <w:szCs w:val="32"/>
                <w:lang w:val="en-US" w:eastAsia="zh-CN"/>
              </w:rPr>
              <w:t>/公众</w:t>
            </w:r>
          </w:p>
        </w:tc>
        <w:tc>
          <w:tcPr>
            <w:tcW w:w="4221" w:type="dxa"/>
            <w:tcBorders>
              <w:top w:val="single" w:color="auto" w:sz="4" w:space="0"/>
              <w:left w:val="nil"/>
              <w:bottom w:val="single" w:color="auto" w:sz="4" w:space="0"/>
              <w:right w:val="single" w:color="auto" w:sz="4" w:space="0"/>
            </w:tcBorders>
            <w:shd w:val="clear" w:color="auto" w:fill="C7DAF1"/>
            <w:noWrap w:val="0"/>
            <w:vAlign w:val="center"/>
          </w:tcPr>
          <w:p>
            <w:pPr>
              <w:spacing w:line="400" w:lineRule="exact"/>
              <w:jc w:val="center"/>
              <w:rPr>
                <w:rFonts w:hint="eastAsia" w:eastAsia="黑体"/>
                <w:sz w:val="32"/>
                <w:szCs w:val="32"/>
                <w:lang w:eastAsia="zh-CN"/>
              </w:rPr>
            </w:pPr>
            <w:r>
              <w:rPr>
                <w:rFonts w:eastAsia="黑体"/>
                <w:sz w:val="32"/>
                <w:szCs w:val="32"/>
              </w:rPr>
              <w:t>反馈意见</w:t>
            </w:r>
            <w:r>
              <w:rPr>
                <w:rFonts w:hint="eastAsia" w:eastAsia="黑体"/>
                <w:sz w:val="32"/>
                <w:szCs w:val="32"/>
                <w:lang w:eastAsia="zh-CN"/>
              </w:rPr>
              <w:t>（</w:t>
            </w:r>
            <w:r>
              <w:rPr>
                <w:rFonts w:hint="eastAsia" w:eastAsia="黑体"/>
                <w:sz w:val="32"/>
                <w:szCs w:val="32"/>
                <w:lang w:val="en-US" w:eastAsia="zh-CN"/>
              </w:rPr>
              <w:t>OA行政网</w:t>
            </w:r>
            <w:r>
              <w:rPr>
                <w:rFonts w:hint="eastAsia" w:eastAsia="黑体"/>
                <w:sz w:val="32"/>
                <w:szCs w:val="32"/>
                <w:lang w:eastAsia="zh-CN"/>
              </w:rPr>
              <w:t>）</w:t>
            </w:r>
          </w:p>
        </w:tc>
        <w:tc>
          <w:tcPr>
            <w:tcW w:w="2279" w:type="dxa"/>
            <w:tcBorders>
              <w:top w:val="single" w:color="auto" w:sz="4" w:space="0"/>
              <w:left w:val="nil"/>
              <w:bottom w:val="single" w:color="auto" w:sz="4" w:space="0"/>
              <w:right w:val="single" w:color="auto" w:sz="4" w:space="0"/>
            </w:tcBorders>
            <w:shd w:val="clear" w:color="auto" w:fill="C7DAF1"/>
            <w:noWrap w:val="0"/>
            <w:vAlign w:val="center"/>
          </w:tcPr>
          <w:p>
            <w:pPr>
              <w:spacing w:line="400" w:lineRule="exact"/>
              <w:jc w:val="center"/>
              <w:rPr>
                <w:rFonts w:eastAsia="黑体"/>
                <w:sz w:val="32"/>
                <w:szCs w:val="32"/>
              </w:rPr>
            </w:pPr>
            <w:r>
              <w:rPr>
                <w:rFonts w:eastAsia="黑体"/>
                <w:sz w:val="32"/>
                <w:szCs w:val="32"/>
              </w:rPr>
              <w:t>采纳情况</w:t>
            </w:r>
          </w:p>
        </w:tc>
        <w:tc>
          <w:tcPr>
            <w:tcW w:w="2209" w:type="dxa"/>
            <w:tcBorders>
              <w:top w:val="single" w:color="auto" w:sz="4" w:space="0"/>
              <w:left w:val="nil"/>
              <w:bottom w:val="single" w:color="auto" w:sz="4" w:space="0"/>
              <w:right w:val="single" w:color="auto" w:sz="4" w:space="0"/>
            </w:tcBorders>
            <w:shd w:val="clear" w:color="auto" w:fill="C7DAF1"/>
            <w:noWrap w:val="0"/>
            <w:vAlign w:val="center"/>
          </w:tcPr>
          <w:p>
            <w:pPr>
              <w:spacing w:line="400" w:lineRule="exact"/>
              <w:jc w:val="center"/>
              <w:rPr>
                <w:rFonts w:eastAsia="黑体"/>
                <w:sz w:val="32"/>
                <w:szCs w:val="32"/>
              </w:rPr>
            </w:pPr>
            <w:r>
              <w:rPr>
                <w:rFonts w:eastAsia="黑体"/>
                <w:sz w:val="32"/>
                <w:szCs w:val="32"/>
              </w:rPr>
              <w:t>不采纳理由</w:t>
            </w:r>
          </w:p>
        </w:tc>
      </w:tr>
      <w:tr>
        <w:tblPrEx>
          <w:tblCellMar>
            <w:top w:w="0" w:type="dxa"/>
            <w:left w:w="108" w:type="dxa"/>
            <w:bottom w:w="0" w:type="dxa"/>
            <w:right w:w="108" w:type="dxa"/>
          </w:tblCellMar>
        </w:tblPrEx>
        <w:trPr>
          <w:trHeight w:val="477" w:hRule="atLeast"/>
        </w:trPr>
        <w:tc>
          <w:tcPr>
            <w:tcW w:w="600"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w:t>
            </w:r>
          </w:p>
        </w:tc>
        <w:tc>
          <w:tcPr>
            <w:tcW w:w="166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市自然资源和规划局</w:t>
            </w:r>
          </w:p>
        </w:tc>
        <w:tc>
          <w:tcPr>
            <w:tcW w:w="42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建议将第二条“本办法所称沙滩，是指海岸线向海侧至低潮线之间的海岸砂质地带以及海岸线向陆一侧海陆连接地带的近岸砂质地带，包括位于本市管辖范围内在自然条件作用下形成的自然沙滩和人为加工后的人工沙滩”修改为“本办法所称沙滩，是指海岸线向海一侧至低潮线之间的海岸砂质地带以及海岸线向陆一侧海陆连接地带的近岸砂质地带，包括位于本市管辖范围内在自然条件作用下形成的自然沙滩和整治修复后人工沙滩”。</w:t>
            </w:r>
          </w:p>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建议删除第六条“市自然资源和规划部门负责组织开展沙滩资源调查、监测和评估，组织开展沙滩范围和分类认定并对社会公布，对可进行旅游开发的沙滩进行相关的规划编制、海域使用权出让及海域使用的监督管理，开展旅游相关配套服务设施和必要公共设施设计方案的审查及备案工作，对沙滩严重受损或者功能退化区域进行综合治理和修复。其下设各区派出机构承担沙滩资源保护管理有关具体工作”中的“组织开展沙滩范围和分类认定并对社会公布”“可进行旅游开发的沙滩进行相关的规划编制”“其下设各区派出机构承担沙滩资源保护管理有关具体工作”。</w:t>
            </w:r>
          </w:p>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三、建议第九条“禁止在沙滩从事损害沙滩资源的下列行为”，增加（8）“焚烧垃圾，燃放孔明灯、烟花爆竹等易引发火灾的行为”（9）改变砂质海岸自然属性的行为。</w:t>
            </w:r>
          </w:p>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建议将第十一条市人民政府可以委托市属国有企业对全市沙滩（不含依法出让海域使用权的区域）进行管理。依法取得海域使用权或管理权的企业为相应沙滩的管理单位。海域使用权竞买人竞买前应向市自然资源和规划部门提交相关配套服务设施和必要公共设施设计方案并经审查通过后方可参与竞买。相关设计方案应符合《海南经济特区海岸带保护与利用管理规定》及其实施细则以及《海南省生态保护红线准入管理目录》等文件的有关规定，建议修改为“市人民政府可以委托市属国有企业对全市沙滩（不含依法出让海域使用权的区域）进行管理，涉及海域范围应依法办理海域使用权。海域使用权竞买人竞买前应向市自然资源和规划部门和旅文部门提交相关配套服务设施和必要公共设施设计方案并经审查通过后方可参与竞买，相关设计方案应符合《海岸线保护与利用管理办法》《海南经济特区海岸带保护与利用管理规定》及其实施细则以及《海南省生态保护红线准入管理目录》等有关规定”。</w:t>
            </w:r>
          </w:p>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五、建议删除第十四条相关内容。</w:t>
            </w:r>
          </w:p>
        </w:tc>
        <w:tc>
          <w:tcPr>
            <w:tcW w:w="227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both"/>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第一点采纳。</w:t>
            </w:r>
          </w:p>
          <w:p>
            <w:pPr>
              <w:pStyle w:val="2"/>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第二部分采纳，关于沙滩范围和分类的表述进行了调整，删除了其下设各区职能的表述，关于“可进行旅游开发的沙滩进行相关的规划编制”的职能主体，建议旅文局给出具体意见。</w:t>
            </w:r>
          </w:p>
          <w:p>
            <w:pPr>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第三点部分采纳，将禁止燃放烟花爆竹、篝火纳入第（五）款。“改变砂质海岸自然属性的行为”已经涉嫌严重违法，建议参照其他相关法律法规调整，不建议纳入。</w:t>
            </w:r>
          </w:p>
          <w:p>
            <w:pPr>
              <w:pStyle w:val="3"/>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第四点部分采纳，资规局建议一并向旅文局提交设计方案并审查，请旅文局核实是否接受。</w:t>
            </w:r>
          </w:p>
          <w:p>
            <w:pPr>
              <w:pStyle w:val="2"/>
              <w:rPr>
                <w:rFonts w:hint="default"/>
                <w:lang w:val="en-US" w:eastAsia="zh-CN"/>
              </w:rPr>
            </w:pPr>
          </w:p>
        </w:tc>
        <w:tc>
          <w:tcPr>
            <w:tcW w:w="220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p>
        </w:tc>
      </w:tr>
      <w:tr>
        <w:tblPrEx>
          <w:tblCellMar>
            <w:top w:w="0" w:type="dxa"/>
            <w:left w:w="108" w:type="dxa"/>
            <w:bottom w:w="0" w:type="dxa"/>
            <w:right w:w="108" w:type="dxa"/>
          </w:tblCellMar>
        </w:tblPrEx>
        <w:trPr>
          <w:trHeight w:val="477" w:hRule="atLeast"/>
        </w:trPr>
        <w:tc>
          <w:tcPr>
            <w:tcW w:w="600"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w:t>
            </w:r>
          </w:p>
        </w:tc>
        <w:tc>
          <w:tcPr>
            <w:tcW w:w="166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市生态环境局</w:t>
            </w:r>
          </w:p>
        </w:tc>
        <w:tc>
          <w:tcPr>
            <w:tcW w:w="42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建议在第十二条第六款中增加执法、环境样品采集等内容。</w:t>
            </w:r>
          </w:p>
        </w:tc>
        <w:tc>
          <w:tcPr>
            <w:tcW w:w="227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采纳。</w:t>
            </w:r>
          </w:p>
        </w:tc>
        <w:tc>
          <w:tcPr>
            <w:tcW w:w="220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p>
        </w:tc>
      </w:tr>
      <w:tr>
        <w:tblPrEx>
          <w:tblCellMar>
            <w:top w:w="0" w:type="dxa"/>
            <w:left w:w="108" w:type="dxa"/>
            <w:bottom w:w="0" w:type="dxa"/>
            <w:right w:w="108" w:type="dxa"/>
          </w:tblCellMar>
        </w:tblPrEx>
        <w:trPr>
          <w:trHeight w:val="477" w:hRule="atLeast"/>
        </w:trPr>
        <w:tc>
          <w:tcPr>
            <w:tcW w:w="600"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w:t>
            </w:r>
          </w:p>
        </w:tc>
        <w:tc>
          <w:tcPr>
            <w:tcW w:w="166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三亚旅游文化投资集团有限公司</w:t>
            </w:r>
          </w:p>
        </w:tc>
        <w:tc>
          <w:tcPr>
            <w:tcW w:w="42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建议在第九条“禁止在沙滩从事损害沙滩资源的下列行为”中增加“未经管理者允许，禁止在沙滩上私自搭帐篷、夜宿露营、篝火、燃放烟花爆竹等行为”</w:t>
            </w:r>
          </w:p>
        </w:tc>
        <w:tc>
          <w:tcPr>
            <w:tcW w:w="227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部分采纳，搭帐篷、夜宿露营是否有必要禁止值得商榷。</w:t>
            </w:r>
          </w:p>
        </w:tc>
        <w:tc>
          <w:tcPr>
            <w:tcW w:w="220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p>
        </w:tc>
      </w:tr>
      <w:tr>
        <w:tblPrEx>
          <w:tblCellMar>
            <w:top w:w="0" w:type="dxa"/>
            <w:left w:w="108" w:type="dxa"/>
            <w:bottom w:w="0" w:type="dxa"/>
            <w:right w:w="108" w:type="dxa"/>
          </w:tblCellMar>
        </w:tblPrEx>
        <w:trPr>
          <w:trHeight w:val="477" w:hRule="atLeast"/>
        </w:trPr>
        <w:tc>
          <w:tcPr>
            <w:tcW w:w="600"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w:t>
            </w:r>
          </w:p>
        </w:tc>
        <w:tc>
          <w:tcPr>
            <w:tcW w:w="166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天涯区人民政府、天涯区旅游和文化广电体育局</w:t>
            </w:r>
          </w:p>
        </w:tc>
        <w:tc>
          <w:tcPr>
            <w:tcW w:w="42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根据《海南经济特区海岸带保护与利用管理实施细则的通知》的规定，沿海市、县、自治县政府是海岸带保护与利用管理的责任主体，负责海岸带保护与利用管理的组织领导和监督管理，严格海岸带开发利用的审批监管，加强海岸带环境资源修复和保护。我区资规部门属三亚市自然资源和规划局的派出机构，且按“三定方案”制定的职责和相关会议要求，海洋管理的具体工作市局并未下放到各分局。建议将“办法”第六条修改为：“市自然资源和规划部门负责组织开展沙滩资源调查、监测和评估，组织开展沙滩范围和分类认定并对社会公布，对可进行旅游开发的沙滩进行相关的规划编制、海域使用权出让及海域使用的监督管理，开展旅游相关配套服务设施和必要公共设施设计方案的审查及备案工作，对沙滩严重受损或者功能退化区域进行综合治理和修复”。同时，删除第十七条。</w:t>
            </w:r>
          </w:p>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区级沙滩的垃圾清理和环境卫生整治工作属于区环卫职责，市住房和城乡建设部门涵盖了环卫和园林，区住房和城乡建设部门、环卫和园林职责是分开的。建议将“办法”第六条修改为：“市住房和城乡建设部门、区环卫所负责做好公共沙滩环境卫生管理保护职责，协调已取得海域使用权的沙滩管理单位做好沙滩的垃圾清理和环境卫生整治工作。”</w:t>
            </w:r>
          </w:p>
        </w:tc>
        <w:tc>
          <w:tcPr>
            <w:tcW w:w="227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一、二均已采纳。</w:t>
            </w:r>
          </w:p>
        </w:tc>
        <w:tc>
          <w:tcPr>
            <w:tcW w:w="220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p>
        </w:tc>
      </w:tr>
      <w:tr>
        <w:tblPrEx>
          <w:tblCellMar>
            <w:top w:w="0" w:type="dxa"/>
            <w:left w:w="108" w:type="dxa"/>
            <w:bottom w:w="0" w:type="dxa"/>
            <w:right w:w="108" w:type="dxa"/>
          </w:tblCellMar>
        </w:tblPrEx>
        <w:trPr>
          <w:trHeight w:val="477" w:hRule="atLeast"/>
        </w:trPr>
        <w:tc>
          <w:tcPr>
            <w:tcW w:w="600"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w:t>
            </w:r>
          </w:p>
        </w:tc>
        <w:tc>
          <w:tcPr>
            <w:tcW w:w="166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贺挺（社会公众）</w:t>
            </w:r>
          </w:p>
        </w:tc>
        <w:tc>
          <w:tcPr>
            <w:tcW w:w="4221"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作为在三亚沙滩长期存在的这一不当直播现象，而不是个例，政府主动采取有效的排查，监督，引导措施，才是解决这一现象的有效途径。而在三亚热门沙滩旅游区，线下有海岸警察，旅游警察，综合行政执法人员，旅游区经营方安保人员多方巡逻，在线上政府同样有网监部门主动巡查。说明政府和相关管理单位，有充分的资源和途径，通过线上线下的配合，主动发现和处理上述不当直播现象。而不是等着有人来举报才去处理。根据政府不同部门执法权和执法范围的不同，也有针对直播者宣导，劝导，谈话，记录，包括针对直播平台约谈的多种途径。说明政府有充分可以利用的合规手段对这一现象进行干预。</w:t>
            </w:r>
          </w:p>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三亚政府有必要出台针对在三亚旅游沙滩进行直播活动的相关约束条款或行为规范，比如限制和约束直播活动的区域和行为。以及对约束条款或行为规范的公示和宣导，比如在旅游沙滩行为准则规范标识牌中明确标识，在宣导广播中加入与直播活动相关的宣导。</w:t>
            </w:r>
          </w:p>
        </w:tc>
        <w:tc>
          <w:tcPr>
            <w:tcW w:w="227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均未采纳。</w:t>
            </w:r>
          </w:p>
        </w:tc>
        <w:tc>
          <w:tcPr>
            <w:tcW w:w="220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不文明直播行为可以参照《三亚市文明行为促进条例》第十六条等相关规定处理。</w:t>
            </w:r>
          </w:p>
        </w:tc>
      </w:tr>
      <w:tr>
        <w:tblPrEx>
          <w:tblCellMar>
            <w:top w:w="0" w:type="dxa"/>
            <w:left w:w="108" w:type="dxa"/>
            <w:bottom w:w="0" w:type="dxa"/>
            <w:right w:w="108" w:type="dxa"/>
          </w:tblCellMar>
        </w:tblPrEx>
        <w:trPr>
          <w:trHeight w:val="477" w:hRule="atLeast"/>
        </w:trPr>
        <w:tc>
          <w:tcPr>
            <w:tcW w:w="600"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w:t>
            </w:r>
          </w:p>
        </w:tc>
        <w:tc>
          <w:tcPr>
            <w:tcW w:w="1669" w:type="dxa"/>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无意见</w:t>
            </w:r>
          </w:p>
        </w:tc>
        <w:tc>
          <w:tcPr>
            <w:tcW w:w="8709" w:type="dxa"/>
            <w:gridSpan w:val="3"/>
            <w:tcBorders>
              <w:top w:val="single" w:color="auto" w:sz="4" w:space="0"/>
              <w:left w:val="nil"/>
              <w:bottom w:val="single" w:color="auto" w:sz="4" w:space="0"/>
              <w:right w:val="single" w:color="auto" w:sz="4" w:space="0"/>
            </w:tcBorders>
            <w:shd w:val="clear" w:color="auto" w:fill="FFFFFF" w:themeFill="background1"/>
            <w:noWrap w:val="0"/>
            <w:vAlign w:val="center"/>
          </w:tcPr>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回复无意见：</w:t>
            </w:r>
            <w:r>
              <w:rPr>
                <w:rFonts w:hint="eastAsia" w:ascii="仿宋" w:hAnsi="仿宋" w:eastAsia="仿宋" w:cs="仿宋"/>
                <w:kern w:val="2"/>
                <w:sz w:val="28"/>
                <w:szCs w:val="28"/>
                <w:lang w:val="en-US" w:eastAsia="zh-CN" w:bidi="ar-SA"/>
              </w:rPr>
              <w:t>市住房和城乡建设局（海政通回复）、市综合行政执法局（OA回函）、市市场监督管理局（电话回复）、市营商环境建设局（电话回复）</w:t>
            </w:r>
          </w:p>
          <w:p>
            <w:pPr>
              <w:numPr>
                <w:ilvl w:val="0"/>
                <w:numId w:val="0"/>
              </w:numPr>
              <w:spacing w:line="400" w:lineRule="exact"/>
              <w:jc w:val="left"/>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未回复视为无意见：</w:t>
            </w:r>
            <w:r>
              <w:rPr>
                <w:rFonts w:hint="eastAsia" w:ascii="仿宋" w:hAnsi="仿宋" w:eastAsia="仿宋" w:cs="仿宋"/>
                <w:kern w:val="2"/>
                <w:sz w:val="28"/>
                <w:szCs w:val="28"/>
                <w:lang w:val="en-US" w:eastAsia="zh-CN" w:bidi="ar-SA"/>
              </w:rPr>
              <w:t>三亚海事局、市公安局、海南省公安厅海岸警察总队第四支队、吉阳区人民政府、吉阳区旅游和文化广电体育局、海棠区人民政府、海棠区旅游和文化广电体育局、崖州区人民政府、崖州区旅游和文化广电体育局</w:t>
            </w:r>
          </w:p>
        </w:tc>
      </w:tr>
    </w:tbl>
    <w:p>
      <w:pPr>
        <w:numPr>
          <w:ilvl w:val="0"/>
          <w:numId w:val="0"/>
        </w:numPr>
        <w:spacing w:line="400" w:lineRule="exact"/>
        <w:jc w:val="left"/>
        <w:rPr>
          <w:rFonts w:hint="eastAsia" w:ascii="Times New Roman" w:hAnsi="Times New Roman" w:eastAsia="黑体" w:cs="Times New Roman"/>
          <w:kern w:val="2"/>
          <w:sz w:val="32"/>
          <w:szCs w:val="32"/>
          <w:lang w:val="en-US" w:eastAsia="zh-CN" w:bidi="ar-SA"/>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简标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MWY3ZmRhZWM3ZjQ0NjQ2ODc5MTRiMDBiM2QxYWIifQ=="/>
  </w:docVars>
  <w:rsids>
    <w:rsidRoot w:val="66E70A54"/>
    <w:rsid w:val="18B4602C"/>
    <w:rsid w:val="19243CEA"/>
    <w:rsid w:val="21587199"/>
    <w:rsid w:val="231F3431"/>
    <w:rsid w:val="296E4909"/>
    <w:rsid w:val="381021CE"/>
    <w:rsid w:val="3BF26350"/>
    <w:rsid w:val="3C61691B"/>
    <w:rsid w:val="3F3F1BD0"/>
    <w:rsid w:val="4924105D"/>
    <w:rsid w:val="5869535F"/>
    <w:rsid w:val="5B7F2B7F"/>
    <w:rsid w:val="64302A4E"/>
    <w:rsid w:val="66E70A54"/>
    <w:rsid w:val="691E504D"/>
    <w:rsid w:val="6EB0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附录标识"/>
    <w:basedOn w:val="1"/>
    <w:next w:val="9"/>
    <w:autoRedefine/>
    <w:qFormat/>
    <w:uiPriority w:val="0"/>
    <w:pPr>
      <w:keepNext/>
      <w:widowControl/>
      <w:shd w:val="clear" w:color="auto" w:fill="FFFFFF"/>
      <w:spacing w:before="640" w:after="280"/>
      <w:jc w:val="center"/>
      <w:outlineLvl w:val="0"/>
    </w:pPr>
    <w:rPr>
      <w:rFonts w:ascii="黑体" w:hAnsi="黑体" w:eastAsia="黑体" w:cs="宋体"/>
      <w:kern w:val="0"/>
    </w:rPr>
  </w:style>
  <w:style w:type="paragraph" w:customStyle="1" w:styleId="9">
    <w:name w:val="段"/>
    <w:basedOn w:val="1"/>
    <w:autoRedefine/>
    <w:qFormat/>
    <w:uiPriority w:val="0"/>
    <w:pPr>
      <w:widowControl/>
      <w:autoSpaceDE w:val="0"/>
      <w:autoSpaceDN w:val="0"/>
      <w:ind w:firstLine="420" w:firstLineChars="200"/>
    </w:pPr>
    <w:rPr>
      <w:rFonts w:ascii="宋体" w:hAnsi="宋体" w:cs="宋体"/>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2515</Words>
  <Characters>2525</Characters>
  <Lines>0</Lines>
  <Paragraphs>0</Paragraphs>
  <TotalTime>22</TotalTime>
  <ScaleCrop>false</ScaleCrop>
  <LinksUpToDate>false</LinksUpToDate>
  <CharactersWithSpaces>2525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2024-02-22T09:10:00Z</dcterms:created>
  <dc:creator>观度</dc:creator>
  <cp:lastModifiedBy>Y。</cp:lastModifiedBy>
  <dcterms:modified xsi:type="dcterms:W3CDTF">2024-04-09T09:31:10Z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D8F445BB716F4252906B81068B76C71F_13</vt:lpwstr>
  </property>
</Properties>
</file>