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4A788">
      <w:pPr>
        <w:pStyle w:val="2"/>
        <w:ind w:firstLine="0" w:firstLineChars="0"/>
        <w:rPr>
          <w:rFonts w:hint="eastAsia" w:eastAsia="方正小标宋简体" w:cs="Times New Roman"/>
          <w:b w:val="0"/>
          <w:bCs w:val="0"/>
          <w:snapToGrid w:val="0"/>
          <w:color w:val="auto"/>
          <w:spacing w:val="-7"/>
          <w:kern w:val="0"/>
          <w:sz w:val="44"/>
          <w:szCs w:val="44"/>
          <w:highlight w:val="none"/>
          <w:lang w:val="en-US" w:eastAsia="zh-CN"/>
        </w:rPr>
      </w:pPr>
      <w:r>
        <w:rPr>
          <w:rFonts w:hint="eastAsia" w:eastAsia="方正小标宋简体" w:cs="Times New Roman"/>
          <w:b w:val="0"/>
          <w:bCs w:val="0"/>
          <w:snapToGrid w:val="0"/>
          <w:color w:val="auto"/>
          <w:spacing w:val="-7"/>
          <w:kern w:val="0"/>
          <w:sz w:val="44"/>
          <w:szCs w:val="44"/>
          <w:highlight w:val="none"/>
          <w:lang w:val="en-US" w:eastAsia="zh-CN"/>
        </w:rPr>
        <w:t>三亚市摩托艇旅游项目经营管理办法（试行）</w:t>
      </w:r>
    </w:p>
    <w:p w14:paraId="016E7B55">
      <w:pPr>
        <w:widowControl/>
        <w:kinsoku w:val="0"/>
        <w:autoSpaceDE w:val="0"/>
        <w:autoSpaceDN w:val="0"/>
        <w:adjustRightInd w:val="0"/>
        <w:snapToGrid w:val="0"/>
        <w:spacing w:before="143" w:line="578" w:lineRule="exact"/>
        <w:ind w:firstLine="0" w:firstLineChars="0"/>
        <w:jc w:val="center"/>
        <w:textAlignment w:val="baseline"/>
        <w:rPr>
          <w:rFonts w:hint="eastAsia"/>
          <w:lang w:val="en-US" w:eastAsia="zh-CN"/>
        </w:rPr>
      </w:pPr>
      <w:r>
        <w:rPr>
          <w:rFonts w:hint="eastAsia" w:ascii="Times New Roman" w:hAnsi="Times New Roman" w:eastAsia="方正小标宋简体" w:cs="Times New Roman"/>
          <w:b w:val="0"/>
          <w:bCs w:val="0"/>
          <w:snapToGrid w:val="0"/>
          <w:color w:val="auto"/>
          <w:spacing w:val="-7"/>
          <w:kern w:val="0"/>
          <w:sz w:val="44"/>
          <w:szCs w:val="44"/>
          <w:highlight w:val="none"/>
          <w:lang w:eastAsia="en-US"/>
        </w:rPr>
        <w:t>（</w:t>
      </w:r>
      <w:r>
        <w:rPr>
          <w:rFonts w:hint="eastAsia" w:eastAsia="方正小标宋简体" w:cs="Times New Roman"/>
          <w:b w:val="0"/>
          <w:bCs w:val="0"/>
          <w:snapToGrid w:val="0"/>
          <w:color w:val="auto"/>
          <w:spacing w:val="-7"/>
          <w:kern w:val="0"/>
          <w:sz w:val="44"/>
          <w:szCs w:val="44"/>
          <w:highlight w:val="none"/>
          <w:lang w:val="en-US" w:eastAsia="zh-CN"/>
        </w:rPr>
        <w:t>征求意见稿</w:t>
      </w:r>
      <w:r>
        <w:rPr>
          <w:rFonts w:hint="eastAsia" w:ascii="Times New Roman" w:hAnsi="Times New Roman" w:eastAsia="方正小标宋简体" w:cs="Times New Roman"/>
          <w:b w:val="0"/>
          <w:bCs w:val="0"/>
          <w:snapToGrid w:val="0"/>
          <w:color w:val="auto"/>
          <w:spacing w:val="-7"/>
          <w:kern w:val="0"/>
          <w:sz w:val="44"/>
          <w:szCs w:val="44"/>
          <w:highlight w:val="none"/>
          <w:lang w:eastAsia="en-US"/>
        </w:rPr>
        <w:t>）</w:t>
      </w:r>
    </w:p>
    <w:p w14:paraId="4BE82FFA">
      <w:pPr>
        <w:rPr>
          <w:rFonts w:hint="eastAsia"/>
          <w:color w:val="auto"/>
        </w:rPr>
      </w:pPr>
    </w:p>
    <w:p w14:paraId="3837DD02">
      <w:pPr>
        <w:rPr>
          <w:rFonts w:hint="eastAsia" w:eastAsia="宋体"/>
          <w:color w:val="auto"/>
          <w:lang w:eastAsia="zh-CN"/>
        </w:rPr>
      </w:pPr>
    </w:p>
    <w:p w14:paraId="58463AC9">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left"/>
        <w:textAlignment w:val="baseline"/>
        <w:rPr>
          <w:rFonts w:hint="eastAsia" w:eastAsia="方正小标宋简体" w:cs="Times New Roman"/>
          <w:b w:val="0"/>
          <w:bCs w:val="0"/>
          <w:snapToGrid w:val="0"/>
          <w:color w:val="auto"/>
          <w:spacing w:val="-7"/>
          <w:kern w:val="0"/>
          <w:sz w:val="28"/>
          <w:szCs w:val="28"/>
          <w:highlight w:val="none"/>
          <w:lang w:val="en-US" w:eastAsia="zh-CN"/>
        </w:rPr>
      </w:pPr>
      <w:r>
        <w:rPr>
          <w:rFonts w:hint="eastAsia" w:eastAsia="方正小标宋简体" w:cs="Times New Roman"/>
          <w:b w:val="0"/>
          <w:bCs w:val="0"/>
          <w:snapToGrid w:val="0"/>
          <w:color w:val="auto"/>
          <w:spacing w:val="-7"/>
          <w:kern w:val="0"/>
          <w:sz w:val="28"/>
          <w:szCs w:val="28"/>
          <w:highlight w:val="none"/>
          <w:lang w:val="en-US" w:eastAsia="zh-CN"/>
        </w:rPr>
        <w:t>目 录</w:t>
      </w:r>
    </w:p>
    <w:p w14:paraId="59F5B2C6">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left"/>
        <w:textAlignment w:val="baseline"/>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pP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第一章 总则</w:t>
      </w:r>
    </w:p>
    <w:p w14:paraId="48D45D5B">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left"/>
        <w:textAlignment w:val="baseline"/>
        <w:rPr>
          <w:rFonts w:hint="eastAsia" w:eastAsia="方正小标宋简体" w:cs="Times New Roman"/>
          <w:b w:val="0"/>
          <w:bCs w:val="0"/>
          <w:snapToGrid w:val="0"/>
          <w:color w:val="auto"/>
          <w:spacing w:val="-7"/>
          <w:kern w:val="0"/>
          <w:sz w:val="28"/>
          <w:szCs w:val="28"/>
          <w:highlight w:val="none"/>
          <w:lang w:val="en-US" w:eastAsia="zh-CN"/>
        </w:rPr>
      </w:pP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 xml:space="preserve">第二章 </w:t>
      </w:r>
      <w:r>
        <w:rPr>
          <w:rFonts w:hint="eastAsia" w:eastAsia="方正小标宋简体" w:cs="Times New Roman"/>
          <w:b w:val="0"/>
          <w:bCs w:val="0"/>
          <w:snapToGrid w:val="0"/>
          <w:color w:val="auto"/>
          <w:spacing w:val="-7"/>
          <w:kern w:val="0"/>
          <w:sz w:val="28"/>
          <w:szCs w:val="28"/>
          <w:highlight w:val="none"/>
          <w:lang w:val="en-US" w:eastAsia="zh-CN"/>
        </w:rPr>
        <w:t>经营管理</w:t>
      </w:r>
    </w:p>
    <w:p w14:paraId="204D304D">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left"/>
        <w:textAlignment w:val="baseline"/>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pP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第</w:t>
      </w:r>
      <w:r>
        <w:rPr>
          <w:rFonts w:hint="eastAsia" w:eastAsia="方正小标宋简体" w:cs="Times New Roman"/>
          <w:b w:val="0"/>
          <w:bCs w:val="0"/>
          <w:snapToGrid w:val="0"/>
          <w:color w:val="auto"/>
          <w:spacing w:val="-7"/>
          <w:kern w:val="0"/>
          <w:sz w:val="28"/>
          <w:szCs w:val="28"/>
          <w:highlight w:val="none"/>
          <w:lang w:val="en-US" w:eastAsia="zh-CN"/>
        </w:rPr>
        <w:t>三</w:t>
      </w: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 xml:space="preserve">章 监督管理 </w:t>
      </w:r>
    </w:p>
    <w:p w14:paraId="21650D01">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left"/>
        <w:textAlignment w:val="baseline"/>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pP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第</w:t>
      </w:r>
      <w:r>
        <w:rPr>
          <w:rFonts w:hint="eastAsia" w:eastAsia="方正小标宋简体" w:cs="Times New Roman"/>
          <w:b w:val="0"/>
          <w:bCs w:val="0"/>
          <w:snapToGrid w:val="0"/>
          <w:color w:val="auto"/>
          <w:spacing w:val="-7"/>
          <w:kern w:val="0"/>
          <w:sz w:val="28"/>
          <w:szCs w:val="28"/>
          <w:highlight w:val="none"/>
          <w:lang w:val="en-US" w:eastAsia="zh-CN"/>
        </w:rPr>
        <w:t>四</w:t>
      </w: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章 法律责任</w:t>
      </w:r>
    </w:p>
    <w:p w14:paraId="71886544">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left"/>
        <w:textAlignment w:val="baseline"/>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pP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第</w:t>
      </w:r>
      <w:r>
        <w:rPr>
          <w:rFonts w:hint="eastAsia" w:eastAsia="方正小标宋简体" w:cs="Times New Roman"/>
          <w:b w:val="0"/>
          <w:bCs w:val="0"/>
          <w:snapToGrid w:val="0"/>
          <w:color w:val="auto"/>
          <w:spacing w:val="-7"/>
          <w:kern w:val="0"/>
          <w:sz w:val="28"/>
          <w:szCs w:val="28"/>
          <w:highlight w:val="none"/>
          <w:lang w:val="en-US" w:eastAsia="zh-CN"/>
        </w:rPr>
        <w:t>五</w:t>
      </w:r>
      <w:r>
        <w:rPr>
          <w:rFonts w:hint="eastAsia" w:ascii="Times New Roman" w:hAnsi="Times New Roman" w:eastAsia="方正小标宋简体" w:cs="Times New Roman"/>
          <w:b w:val="0"/>
          <w:bCs w:val="0"/>
          <w:snapToGrid w:val="0"/>
          <w:color w:val="auto"/>
          <w:spacing w:val="-7"/>
          <w:kern w:val="0"/>
          <w:sz w:val="28"/>
          <w:szCs w:val="28"/>
          <w:highlight w:val="none"/>
          <w:lang w:val="en-US" w:eastAsia="zh-CN"/>
        </w:rPr>
        <w:t>章 附则</w:t>
      </w:r>
    </w:p>
    <w:p w14:paraId="4F8330E2">
      <w:pPr>
        <w:rPr>
          <w:rFonts w:hint="eastAsia"/>
          <w:color w:val="auto"/>
        </w:rPr>
      </w:pPr>
    </w:p>
    <w:p w14:paraId="1523EBAB">
      <w:pPr>
        <w:rPr>
          <w:rFonts w:hint="eastAsia" w:eastAsia="宋体"/>
          <w:color w:val="auto"/>
          <w:lang w:eastAsia="zh-CN"/>
        </w:rPr>
      </w:pPr>
    </w:p>
    <w:p w14:paraId="50AD026D">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Times New Roman" w:hAnsi="Times New Roman" w:eastAsia="黑体" w:cs="Times New Roman"/>
          <w:b w:val="0"/>
          <w:bCs w:val="0"/>
          <w:snapToGrid w:val="0"/>
          <w:color w:val="auto"/>
          <w:spacing w:val="57"/>
          <w:kern w:val="0"/>
          <w:sz w:val="32"/>
          <w:szCs w:val="32"/>
          <w:highlight w:val="none"/>
          <w:lang w:val="en-US" w:eastAsia="zh-CN"/>
        </w:rPr>
      </w:pPr>
      <w:r>
        <w:rPr>
          <w:rFonts w:hint="eastAsia" w:ascii="Times New Roman" w:hAnsi="Times New Roman" w:eastAsia="黑体" w:cs="Times New Roman"/>
          <w:b w:val="0"/>
          <w:bCs w:val="0"/>
          <w:snapToGrid w:val="0"/>
          <w:color w:val="auto"/>
          <w:spacing w:val="57"/>
          <w:kern w:val="0"/>
          <w:sz w:val="32"/>
          <w:szCs w:val="32"/>
          <w:highlight w:val="none"/>
          <w:lang w:val="en-US" w:eastAsia="zh-CN"/>
        </w:rPr>
        <w:t>第一章 总则</w:t>
      </w:r>
    </w:p>
    <w:p w14:paraId="57AC21E7">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 xml:space="preserve">第一条 </w:t>
      </w:r>
      <w:r>
        <w:rPr>
          <w:rFonts w:hint="eastAsia" w:ascii="Times New Roman" w:hAnsi="Times New Roman" w:eastAsia="仿宋_GB2312" w:cs="Times New Roman"/>
          <w:snapToGrid w:val="0"/>
          <w:color w:val="auto"/>
          <w:spacing w:val="2"/>
          <w:kern w:val="0"/>
          <w:sz w:val="32"/>
          <w:szCs w:val="32"/>
          <w:highlight w:val="none"/>
          <w:lang w:val="en-US" w:eastAsia="zh-CN"/>
        </w:rPr>
        <w:t>为</w:t>
      </w:r>
      <w:r>
        <w:rPr>
          <w:rFonts w:hint="eastAsia" w:eastAsia="仿宋_GB2312" w:cs="Times New Roman"/>
          <w:snapToGrid w:val="0"/>
          <w:color w:val="auto"/>
          <w:spacing w:val="2"/>
          <w:kern w:val="0"/>
          <w:sz w:val="32"/>
          <w:szCs w:val="32"/>
          <w:highlight w:val="none"/>
          <w:lang w:val="en-US" w:eastAsia="zh-CN"/>
        </w:rPr>
        <w:t>了</w:t>
      </w:r>
      <w:r>
        <w:rPr>
          <w:rFonts w:hint="eastAsia" w:ascii="Times New Roman" w:hAnsi="Times New Roman" w:eastAsia="仿宋_GB2312" w:cs="Times New Roman"/>
          <w:snapToGrid w:val="0"/>
          <w:color w:val="auto"/>
          <w:spacing w:val="2"/>
          <w:kern w:val="0"/>
          <w:sz w:val="32"/>
          <w:szCs w:val="32"/>
          <w:highlight w:val="none"/>
          <w:lang w:val="en-US" w:eastAsia="zh-CN"/>
        </w:rPr>
        <w:t>规范三亚市</w:t>
      </w:r>
      <w:r>
        <w:rPr>
          <w:rFonts w:hint="eastAsia" w:eastAsia="仿宋_GB2312" w:cs="Times New Roman"/>
          <w:snapToGrid w:val="0"/>
          <w:color w:val="auto"/>
          <w:spacing w:val="2"/>
          <w:kern w:val="0"/>
          <w:sz w:val="32"/>
          <w:szCs w:val="32"/>
          <w:highlight w:val="none"/>
          <w:lang w:val="en-US" w:eastAsia="zh-CN"/>
        </w:rPr>
        <w:t>摩托艇旅游项目经营</w:t>
      </w:r>
      <w:r>
        <w:rPr>
          <w:rFonts w:hint="eastAsia" w:ascii="Times New Roman" w:hAnsi="Times New Roman" w:eastAsia="仿宋_GB2312" w:cs="Times New Roman"/>
          <w:snapToGrid w:val="0"/>
          <w:color w:val="auto"/>
          <w:spacing w:val="2"/>
          <w:kern w:val="0"/>
          <w:sz w:val="32"/>
          <w:szCs w:val="32"/>
          <w:highlight w:val="none"/>
          <w:lang w:val="en-US" w:eastAsia="zh-CN"/>
        </w:rPr>
        <w:t>活动，保障水上交通安全，维护市场秩序，保护</w:t>
      </w:r>
      <w:r>
        <w:rPr>
          <w:rFonts w:hint="eastAsia" w:eastAsia="仿宋_GB2312" w:cs="Times New Roman"/>
          <w:snapToGrid w:val="0"/>
          <w:color w:val="auto"/>
          <w:spacing w:val="2"/>
          <w:kern w:val="0"/>
          <w:sz w:val="32"/>
          <w:szCs w:val="32"/>
          <w:highlight w:val="none"/>
          <w:lang w:val="en-US" w:eastAsia="zh-CN"/>
        </w:rPr>
        <w:t>消费者</w:t>
      </w:r>
      <w:r>
        <w:rPr>
          <w:rFonts w:hint="eastAsia" w:ascii="Times New Roman" w:hAnsi="Times New Roman" w:eastAsia="仿宋_GB2312" w:cs="Times New Roman"/>
          <w:snapToGrid w:val="0"/>
          <w:color w:val="auto"/>
          <w:spacing w:val="2"/>
          <w:kern w:val="0"/>
          <w:sz w:val="32"/>
          <w:szCs w:val="32"/>
          <w:highlight w:val="none"/>
          <w:lang w:val="en-US" w:eastAsia="zh-CN"/>
        </w:rPr>
        <w:t>和经营者合法权益，根据《中华人民共和国海上交通安全法》《中华人民共和国体育法》《中华人民共和国旅游法》《中华人民共和国安全生产法》等法律法规，结合本市实际，制定本办法。</w:t>
      </w:r>
    </w:p>
    <w:p w14:paraId="201E65A7">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第二条</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 本市行政区域内</w:t>
      </w:r>
      <w:r>
        <w:rPr>
          <w:rFonts w:hint="eastAsia" w:eastAsia="仿宋_GB2312" w:cs="Times New Roman"/>
          <w:snapToGrid w:val="0"/>
          <w:color w:val="auto"/>
          <w:spacing w:val="2"/>
          <w:kern w:val="0"/>
          <w:sz w:val="32"/>
          <w:szCs w:val="32"/>
          <w:highlight w:val="none"/>
          <w:lang w:val="en-US" w:eastAsia="zh-CN"/>
        </w:rPr>
        <w:t>摩托艇旅游项目的经营与</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监督管理活动，适用本办法。 </w:t>
      </w:r>
    </w:p>
    <w:p w14:paraId="21A9D5C9">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第三条</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rPr>
        <w:t>摩托艇旅游项目的开展</w:t>
      </w:r>
      <w:r>
        <w:rPr>
          <w:rFonts w:hint="eastAsia" w:ascii="Times New Roman" w:hAnsi="Times New Roman" w:eastAsia="仿宋_GB2312" w:cs="Times New Roman"/>
          <w:snapToGrid w:val="0"/>
          <w:color w:val="auto"/>
          <w:spacing w:val="2"/>
          <w:kern w:val="0"/>
          <w:sz w:val="32"/>
          <w:szCs w:val="32"/>
          <w:highlight w:val="none"/>
          <w:lang w:val="en-US" w:eastAsia="zh-CN"/>
        </w:rPr>
        <w:t>应当遵循社会效益、经济效益和生态效益相统一的原则，注重科学规划、依法监管、综合治理、安全有序。</w:t>
      </w:r>
    </w:p>
    <w:p w14:paraId="46C8D0CC">
      <w:pPr>
        <w:keepNext w:val="0"/>
        <w:keepLines w:val="0"/>
        <w:pageBreakBefore w:val="0"/>
        <w:numPr>
          <w:ilvl w:val="0"/>
          <w:numId w:val="0"/>
        </w:numPr>
        <w:wordWrap/>
        <w:overflowPunct/>
        <w:topLinePunct w:val="0"/>
        <w:bidi w:val="0"/>
        <w:spacing w:line="578" w:lineRule="exact"/>
        <w:ind w:firstLine="651" w:firstLineChars="200"/>
        <w:rPr>
          <w:rFonts w:hint="eastAsia"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第四条</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 市、区人民政府应当加强对</w:t>
      </w:r>
      <w:r>
        <w:rPr>
          <w:rFonts w:hint="eastAsia" w:eastAsia="仿宋_GB2312" w:cs="Times New Roman"/>
          <w:snapToGrid w:val="0"/>
          <w:color w:val="auto"/>
          <w:spacing w:val="2"/>
          <w:kern w:val="0"/>
          <w:sz w:val="32"/>
          <w:szCs w:val="32"/>
          <w:highlight w:val="none"/>
          <w:lang w:val="en-US" w:eastAsia="zh-CN"/>
        </w:rPr>
        <w:t>摩托艇旅游项目</w:t>
      </w:r>
      <w:r>
        <w:rPr>
          <w:rFonts w:hint="eastAsia" w:ascii="Times New Roman" w:hAnsi="Times New Roman" w:eastAsia="仿宋_GB2312" w:cs="Times New Roman"/>
          <w:snapToGrid w:val="0"/>
          <w:color w:val="auto"/>
          <w:spacing w:val="2"/>
          <w:kern w:val="0"/>
          <w:sz w:val="32"/>
          <w:szCs w:val="32"/>
          <w:highlight w:val="none"/>
          <w:lang w:val="en-US" w:eastAsia="zh-CN"/>
        </w:rPr>
        <w:t>工作的领导，</w:t>
      </w:r>
      <w:r>
        <w:rPr>
          <w:rFonts w:hint="default" w:ascii="Times New Roman" w:hAnsi="Times New Roman" w:eastAsia="仿宋_GB2312" w:cs="Times New Roman"/>
          <w:snapToGrid w:val="0"/>
          <w:color w:val="auto"/>
          <w:spacing w:val="2"/>
          <w:kern w:val="0"/>
          <w:sz w:val="32"/>
          <w:szCs w:val="32"/>
          <w:highlight w:val="none"/>
          <w:lang w:val="en-US" w:eastAsia="en-US"/>
        </w:rPr>
        <w:t>建立</w:t>
      </w:r>
      <w:r>
        <w:rPr>
          <w:rFonts w:hint="eastAsia" w:eastAsia="仿宋_GB2312" w:cs="Times New Roman"/>
          <w:snapToGrid w:val="0"/>
          <w:color w:val="auto"/>
          <w:spacing w:val="2"/>
          <w:kern w:val="0"/>
          <w:sz w:val="32"/>
          <w:szCs w:val="32"/>
          <w:highlight w:val="none"/>
          <w:lang w:val="en-US" w:eastAsia="zh-CN"/>
        </w:rPr>
        <w:t>文旅、海事、交通运输、应急管理、生态环境以及市场监督管理等部门参与的综合</w:t>
      </w:r>
      <w:r>
        <w:rPr>
          <w:rFonts w:hint="default" w:ascii="Times New Roman" w:hAnsi="Times New Roman" w:eastAsia="仿宋_GB2312" w:cs="Times New Roman"/>
          <w:snapToGrid w:val="0"/>
          <w:color w:val="auto"/>
          <w:spacing w:val="2"/>
          <w:kern w:val="0"/>
          <w:sz w:val="32"/>
          <w:szCs w:val="32"/>
          <w:highlight w:val="none"/>
          <w:lang w:val="en-US" w:eastAsia="en-US"/>
        </w:rPr>
        <w:t>协调机制</w:t>
      </w:r>
      <w:r>
        <w:rPr>
          <w:rFonts w:hint="eastAsia" w:eastAsia="仿宋_GB2312" w:cs="Times New Roman"/>
          <w:snapToGrid w:val="0"/>
          <w:color w:val="auto"/>
          <w:spacing w:val="2"/>
          <w:kern w:val="0"/>
          <w:sz w:val="32"/>
          <w:szCs w:val="32"/>
          <w:highlight w:val="none"/>
          <w:lang w:val="en-US" w:eastAsia="zh-CN"/>
        </w:rPr>
        <w:t>，搭建三亚市摩托艇旅游项目智能监管服务平台，整合摩托艇旅游项目信息资源，推动摩托艇旅游项目监督管理数据共享。</w:t>
      </w:r>
    </w:p>
    <w:p w14:paraId="77413FB0">
      <w:pPr>
        <w:pStyle w:val="2"/>
        <w:rPr>
          <w:rFonts w:hint="default" w:eastAsia="仿宋_GB2312" w:cs="Times New Roman"/>
          <w:snapToGrid w:val="0"/>
          <w:color w:val="auto"/>
          <w:spacing w:val="2"/>
          <w:kern w:val="0"/>
          <w:sz w:val="32"/>
          <w:szCs w:val="32"/>
          <w:highlight w:val="none"/>
          <w:lang w:val="en-US" w:eastAsia="en-US"/>
        </w:rPr>
      </w:pPr>
      <w:r>
        <w:rPr>
          <w:rFonts w:hint="default" w:eastAsia="仿宋_GB2312" w:cs="Times New Roman"/>
          <w:snapToGrid w:val="0"/>
          <w:color w:val="auto"/>
          <w:spacing w:val="2"/>
          <w:kern w:val="0"/>
          <w:sz w:val="32"/>
          <w:szCs w:val="32"/>
          <w:highlight w:val="none"/>
          <w:lang w:val="en-US" w:eastAsia="en-US"/>
        </w:rPr>
        <w:t>区人民政府负责辖区内摩托艇旅游项目的统一调度、安全维护及日常监管。</w:t>
      </w:r>
    </w:p>
    <w:p w14:paraId="5388D7F4">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default" w:ascii="Times New Roman" w:hAnsi="Times New Roman" w:eastAsia="仿宋_GB2312" w:cs="Times New Roman"/>
          <w:b/>
          <w:bCs/>
          <w:snapToGrid w:val="0"/>
          <w:color w:val="auto"/>
          <w:spacing w:val="2"/>
          <w:kern w:val="0"/>
          <w:sz w:val="32"/>
          <w:szCs w:val="32"/>
          <w:highlight w:val="none"/>
          <w:lang w:val="en-US" w:eastAsia="en-US"/>
        </w:rPr>
        <w:t>第</w:t>
      </w:r>
      <w:r>
        <w:rPr>
          <w:rFonts w:hint="eastAsia" w:eastAsia="仿宋_GB2312" w:cs="Times New Roman"/>
          <w:b/>
          <w:bCs/>
          <w:snapToGrid w:val="0"/>
          <w:color w:val="auto"/>
          <w:spacing w:val="2"/>
          <w:kern w:val="0"/>
          <w:sz w:val="32"/>
          <w:szCs w:val="32"/>
          <w:highlight w:val="none"/>
          <w:lang w:val="en-US" w:eastAsia="zh-CN"/>
        </w:rPr>
        <w:t>五</w:t>
      </w:r>
      <w:r>
        <w:rPr>
          <w:rFonts w:hint="default" w:ascii="Times New Roman" w:hAnsi="Times New Roman" w:eastAsia="仿宋_GB2312" w:cs="Times New Roman"/>
          <w:b/>
          <w:bCs/>
          <w:snapToGrid w:val="0"/>
          <w:color w:val="auto"/>
          <w:spacing w:val="2"/>
          <w:kern w:val="0"/>
          <w:sz w:val="32"/>
          <w:szCs w:val="32"/>
          <w:highlight w:val="none"/>
          <w:lang w:val="en-US" w:eastAsia="en-US"/>
        </w:rPr>
        <w:t>条</w:t>
      </w:r>
      <w:r>
        <w:rPr>
          <w:rFonts w:hint="default" w:ascii="Times New Roman" w:hAnsi="Times New Roman" w:eastAsia="仿宋_GB2312" w:cs="Times New Roman"/>
          <w:b w:val="0"/>
          <w:bCs w:val="0"/>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rPr>
        <w:t>开展摩托艇旅游项目经营活动</w:t>
      </w:r>
      <w:r>
        <w:rPr>
          <w:rFonts w:hint="eastAsia" w:ascii="Times New Roman" w:hAnsi="Times New Roman" w:eastAsia="仿宋_GB2312" w:cs="Times New Roman"/>
          <w:snapToGrid w:val="0"/>
          <w:color w:val="auto"/>
          <w:spacing w:val="2"/>
          <w:kern w:val="0"/>
          <w:sz w:val="32"/>
          <w:szCs w:val="32"/>
          <w:highlight w:val="none"/>
          <w:lang w:val="en-US" w:eastAsia="zh-CN"/>
        </w:rPr>
        <w:t>，应当遵守生态环境保护规定，保护生态环境资源，防止破坏</w:t>
      </w:r>
      <w:r>
        <w:rPr>
          <w:rFonts w:hint="eastAsia" w:eastAsia="仿宋_GB2312" w:cs="Times New Roman"/>
          <w:snapToGrid w:val="0"/>
          <w:color w:val="auto"/>
          <w:spacing w:val="2"/>
          <w:kern w:val="0"/>
          <w:sz w:val="32"/>
          <w:szCs w:val="32"/>
          <w:highlight w:val="none"/>
          <w:lang w:val="en-US" w:eastAsia="zh-CN"/>
        </w:rPr>
        <w:t>或者污染</w:t>
      </w:r>
      <w:r>
        <w:rPr>
          <w:rFonts w:hint="eastAsia" w:ascii="Times New Roman" w:hAnsi="Times New Roman" w:eastAsia="仿宋_GB2312" w:cs="Times New Roman"/>
          <w:snapToGrid w:val="0"/>
          <w:color w:val="auto"/>
          <w:spacing w:val="2"/>
          <w:kern w:val="0"/>
          <w:sz w:val="32"/>
          <w:szCs w:val="32"/>
          <w:highlight w:val="none"/>
          <w:lang w:val="en-US" w:eastAsia="zh-CN"/>
        </w:rPr>
        <w:t>生态环境。</w:t>
      </w:r>
    </w:p>
    <w:p w14:paraId="48FEE319">
      <w:pPr>
        <w:pStyle w:val="2"/>
        <w:rPr>
          <w:rFonts w:hint="default" w:eastAsia="仿宋_GB2312" w:cs="Times New Roman"/>
          <w:snapToGrid w:val="0"/>
          <w:color w:val="auto"/>
          <w:spacing w:val="2"/>
          <w:kern w:val="0"/>
          <w:sz w:val="32"/>
          <w:szCs w:val="32"/>
          <w:highlight w:val="none"/>
          <w:lang w:val="en-US" w:eastAsia="en-US"/>
        </w:rPr>
      </w:pPr>
      <w:r>
        <w:rPr>
          <w:rFonts w:hint="default" w:eastAsia="仿宋_GB2312" w:cs="Times New Roman"/>
          <w:snapToGrid w:val="0"/>
          <w:color w:val="auto"/>
          <w:spacing w:val="2"/>
          <w:kern w:val="0"/>
          <w:sz w:val="32"/>
          <w:szCs w:val="32"/>
          <w:highlight w:val="none"/>
          <w:lang w:val="en-US" w:eastAsia="en-US"/>
        </w:rPr>
        <w:t>区人民政府</w:t>
      </w:r>
      <w:r>
        <w:rPr>
          <w:rFonts w:hint="eastAsia" w:eastAsia="仿宋_GB2312" w:cs="Times New Roman"/>
          <w:snapToGrid w:val="0"/>
          <w:color w:val="auto"/>
          <w:spacing w:val="2"/>
          <w:kern w:val="0"/>
          <w:sz w:val="32"/>
          <w:szCs w:val="32"/>
          <w:highlight w:val="none"/>
          <w:lang w:val="en-US" w:eastAsia="zh-CN"/>
        </w:rPr>
        <w:t>根据</w:t>
      </w:r>
      <w:r>
        <w:rPr>
          <w:rFonts w:hint="eastAsia" w:ascii="Times New Roman" w:hAnsi="Times New Roman" w:eastAsia="仿宋_GB2312" w:cs="Times New Roman"/>
          <w:snapToGrid w:val="0"/>
          <w:color w:val="auto"/>
          <w:spacing w:val="2"/>
          <w:kern w:val="0"/>
          <w:sz w:val="32"/>
          <w:szCs w:val="32"/>
          <w:highlight w:val="none"/>
          <w:lang w:val="en-US" w:eastAsia="zh-CN" w:bidi="ar-SA"/>
        </w:rPr>
        <w:t>《三亚市海域使用详细规划》划定摩托艇活动区域</w:t>
      </w:r>
      <w:r>
        <w:rPr>
          <w:rFonts w:hint="eastAsia" w:eastAsia="仿宋_GB2312" w:cs="Times New Roman"/>
          <w:snapToGrid w:val="0"/>
          <w:color w:val="auto"/>
          <w:spacing w:val="2"/>
          <w:kern w:val="0"/>
          <w:sz w:val="32"/>
          <w:szCs w:val="32"/>
          <w:highlight w:val="none"/>
          <w:lang w:val="en-US" w:eastAsia="zh-CN" w:bidi="ar-SA"/>
        </w:rPr>
        <w:t>，</w:t>
      </w:r>
      <w:r>
        <w:rPr>
          <w:rFonts w:hint="default" w:eastAsia="仿宋_GB2312" w:cs="Times New Roman"/>
          <w:snapToGrid w:val="0"/>
          <w:color w:val="auto"/>
          <w:spacing w:val="2"/>
          <w:kern w:val="0"/>
          <w:sz w:val="32"/>
          <w:szCs w:val="32"/>
          <w:highlight w:val="none"/>
          <w:lang w:val="en-US" w:eastAsia="en-US"/>
        </w:rPr>
        <w:t>定期委托第三方机构开展海域环境承载力评估</w:t>
      </w:r>
      <w:r>
        <w:rPr>
          <w:rFonts w:hint="eastAsia" w:eastAsia="仿宋_GB2312" w:cs="Times New Roman"/>
          <w:snapToGrid w:val="0"/>
          <w:color w:val="auto"/>
          <w:spacing w:val="2"/>
          <w:kern w:val="0"/>
          <w:sz w:val="32"/>
          <w:szCs w:val="32"/>
          <w:highlight w:val="none"/>
          <w:lang w:val="en-US" w:eastAsia="zh-CN"/>
        </w:rPr>
        <w:t>后，由</w:t>
      </w:r>
      <w:r>
        <w:rPr>
          <w:rFonts w:hint="default" w:eastAsia="仿宋_GB2312" w:cs="Times New Roman"/>
          <w:snapToGrid w:val="0"/>
          <w:color w:val="auto"/>
          <w:spacing w:val="2"/>
          <w:kern w:val="0"/>
          <w:sz w:val="32"/>
          <w:szCs w:val="32"/>
          <w:highlight w:val="none"/>
          <w:lang w:val="en-US" w:eastAsia="en-US"/>
        </w:rPr>
        <w:t>市自然资源和规划局划定各片区摩托艇旅游项目承载量上限，并向社会公布。</w:t>
      </w:r>
    </w:p>
    <w:p w14:paraId="3EECD0BF">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六</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鼓励</w:t>
      </w:r>
      <w:r>
        <w:rPr>
          <w:rFonts w:hint="eastAsia" w:eastAsia="仿宋_GB2312" w:cs="Times New Roman"/>
          <w:snapToGrid w:val="0"/>
          <w:color w:val="auto"/>
          <w:spacing w:val="2"/>
          <w:kern w:val="0"/>
          <w:sz w:val="32"/>
          <w:szCs w:val="32"/>
          <w:highlight w:val="none"/>
          <w:lang w:val="en-US" w:eastAsia="zh-CN"/>
        </w:rPr>
        <w:t>摩托艇旅游项目</w:t>
      </w:r>
      <w:r>
        <w:rPr>
          <w:rFonts w:hint="eastAsia" w:ascii="Times New Roman" w:hAnsi="Times New Roman" w:eastAsia="仿宋_GB2312" w:cs="Times New Roman"/>
          <w:snapToGrid w:val="0"/>
          <w:color w:val="auto"/>
          <w:spacing w:val="2"/>
          <w:kern w:val="0"/>
          <w:sz w:val="32"/>
          <w:szCs w:val="32"/>
          <w:highlight w:val="none"/>
          <w:lang w:val="en-US" w:eastAsia="zh-CN"/>
        </w:rPr>
        <w:t>经营者</w:t>
      </w:r>
      <w:r>
        <w:rPr>
          <w:rFonts w:hint="eastAsia" w:eastAsia="仿宋_GB2312" w:cs="Times New Roman"/>
          <w:snapToGrid w:val="0"/>
          <w:color w:val="auto"/>
          <w:spacing w:val="2"/>
          <w:kern w:val="0"/>
          <w:sz w:val="32"/>
          <w:szCs w:val="32"/>
          <w:highlight w:val="none"/>
          <w:lang w:val="en-US" w:eastAsia="zh-CN"/>
        </w:rPr>
        <w:t>（以下简称经营者）</w:t>
      </w:r>
      <w:r>
        <w:rPr>
          <w:rFonts w:hint="eastAsia" w:ascii="Times New Roman" w:hAnsi="Times New Roman" w:eastAsia="仿宋_GB2312" w:cs="Times New Roman"/>
          <w:snapToGrid w:val="0"/>
          <w:color w:val="auto"/>
          <w:spacing w:val="2"/>
          <w:kern w:val="0"/>
          <w:sz w:val="32"/>
          <w:szCs w:val="32"/>
          <w:highlight w:val="none"/>
          <w:lang w:val="en-US" w:eastAsia="zh-CN"/>
        </w:rPr>
        <w:t>依法成立或者加入</w:t>
      </w:r>
      <w:r>
        <w:rPr>
          <w:rFonts w:hint="eastAsia" w:eastAsia="仿宋_GB2312" w:cs="Times New Roman"/>
          <w:snapToGrid w:val="0"/>
          <w:color w:val="auto"/>
          <w:spacing w:val="2"/>
          <w:kern w:val="0"/>
          <w:sz w:val="32"/>
          <w:szCs w:val="32"/>
          <w:highlight w:val="none"/>
          <w:lang w:val="en-US" w:eastAsia="zh-CN"/>
        </w:rPr>
        <w:t>摩托艇旅游</w:t>
      </w:r>
      <w:r>
        <w:rPr>
          <w:rFonts w:hint="eastAsia" w:ascii="Times New Roman" w:hAnsi="Times New Roman" w:eastAsia="仿宋_GB2312" w:cs="Times New Roman"/>
          <w:snapToGrid w:val="0"/>
          <w:color w:val="auto"/>
          <w:spacing w:val="2"/>
          <w:kern w:val="0"/>
          <w:sz w:val="32"/>
          <w:szCs w:val="32"/>
          <w:highlight w:val="none"/>
          <w:lang w:val="en-US" w:eastAsia="zh-CN"/>
        </w:rPr>
        <w:t>行业协会</w:t>
      </w:r>
      <w:r>
        <w:rPr>
          <w:rFonts w:hint="eastAsia" w:eastAsia="仿宋_GB2312" w:cs="Times New Roman"/>
          <w:snapToGrid w:val="0"/>
          <w:color w:val="auto"/>
          <w:spacing w:val="2"/>
          <w:kern w:val="0"/>
          <w:sz w:val="32"/>
          <w:szCs w:val="32"/>
          <w:highlight w:val="none"/>
          <w:lang w:val="en-US" w:eastAsia="zh-CN"/>
        </w:rPr>
        <w:t>，</w:t>
      </w:r>
      <w:r>
        <w:rPr>
          <w:rFonts w:hint="eastAsia" w:ascii="Times New Roman" w:hAnsi="Times New Roman" w:eastAsia="仿宋_GB2312" w:cs="Times New Roman"/>
          <w:snapToGrid w:val="0"/>
          <w:color w:val="auto"/>
          <w:spacing w:val="2"/>
          <w:kern w:val="0"/>
          <w:sz w:val="32"/>
          <w:szCs w:val="32"/>
          <w:highlight w:val="none"/>
          <w:lang w:val="en-US" w:eastAsia="zh-CN"/>
        </w:rPr>
        <w:t>加强行业自律，推动行业诚信建设，引导督促经营者依法经营。</w:t>
      </w:r>
    </w:p>
    <w:p w14:paraId="291A083B">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鼓励</w:t>
      </w:r>
      <w:r>
        <w:rPr>
          <w:rFonts w:hint="eastAsia" w:eastAsia="仿宋_GB2312" w:cs="Times New Roman"/>
          <w:snapToGrid w:val="0"/>
          <w:color w:val="auto"/>
          <w:spacing w:val="2"/>
          <w:kern w:val="0"/>
          <w:sz w:val="32"/>
          <w:szCs w:val="32"/>
          <w:highlight w:val="none"/>
          <w:lang w:val="en-US" w:eastAsia="zh-CN"/>
        </w:rPr>
        <w:t>摩托艇旅游</w:t>
      </w:r>
      <w:r>
        <w:rPr>
          <w:rFonts w:hint="eastAsia" w:ascii="Times New Roman" w:hAnsi="Times New Roman" w:eastAsia="仿宋_GB2312" w:cs="Times New Roman"/>
          <w:snapToGrid w:val="0"/>
          <w:color w:val="auto"/>
          <w:spacing w:val="2"/>
          <w:kern w:val="0"/>
          <w:sz w:val="32"/>
          <w:szCs w:val="32"/>
          <w:highlight w:val="none"/>
          <w:lang w:val="en-US" w:eastAsia="zh-CN"/>
        </w:rPr>
        <w:t>行业协会制定行业管理和服务规范，开展行业从业人员培训、考试</w:t>
      </w:r>
      <w:r>
        <w:rPr>
          <w:rFonts w:hint="eastAsia" w:eastAsia="仿宋_GB2312" w:cs="Times New Roman"/>
          <w:snapToGrid w:val="0"/>
          <w:color w:val="auto"/>
          <w:spacing w:val="2"/>
          <w:kern w:val="0"/>
          <w:sz w:val="32"/>
          <w:szCs w:val="32"/>
          <w:highlight w:val="none"/>
          <w:lang w:val="en-US" w:eastAsia="zh-CN"/>
        </w:rPr>
        <w:t>和</w:t>
      </w:r>
      <w:r>
        <w:rPr>
          <w:rFonts w:hint="eastAsia" w:ascii="Times New Roman" w:hAnsi="Times New Roman" w:eastAsia="仿宋_GB2312" w:cs="Times New Roman"/>
          <w:snapToGrid w:val="0"/>
          <w:color w:val="auto"/>
          <w:spacing w:val="2"/>
          <w:kern w:val="0"/>
          <w:sz w:val="32"/>
          <w:szCs w:val="32"/>
          <w:highlight w:val="none"/>
          <w:lang w:val="en-US" w:eastAsia="zh-CN"/>
        </w:rPr>
        <w:t>资质评定，</w:t>
      </w:r>
      <w:r>
        <w:rPr>
          <w:rFonts w:hint="eastAsia" w:eastAsia="仿宋_GB2312" w:cs="Times New Roman"/>
          <w:snapToGrid w:val="0"/>
          <w:color w:val="auto"/>
          <w:spacing w:val="2"/>
          <w:kern w:val="0"/>
          <w:sz w:val="32"/>
          <w:szCs w:val="32"/>
          <w:highlight w:val="none"/>
          <w:lang w:val="en-US" w:eastAsia="zh-CN"/>
        </w:rPr>
        <w:t>制定</w:t>
      </w:r>
      <w:r>
        <w:rPr>
          <w:rFonts w:hint="eastAsia" w:ascii="Times New Roman" w:hAnsi="Times New Roman" w:eastAsia="仿宋_GB2312" w:cs="Times New Roman"/>
          <w:snapToGrid w:val="0"/>
          <w:color w:val="auto"/>
          <w:spacing w:val="2"/>
          <w:kern w:val="0"/>
          <w:sz w:val="32"/>
          <w:szCs w:val="32"/>
          <w:highlight w:val="none"/>
          <w:lang w:val="en-US" w:eastAsia="zh-CN"/>
        </w:rPr>
        <w:t>摩托艇定位</w:t>
      </w:r>
      <w:r>
        <w:rPr>
          <w:rFonts w:hint="eastAsia" w:eastAsia="仿宋_GB2312" w:cs="Times New Roman"/>
          <w:snapToGrid w:val="0"/>
          <w:color w:val="auto"/>
          <w:spacing w:val="2"/>
          <w:kern w:val="0"/>
          <w:sz w:val="32"/>
          <w:szCs w:val="32"/>
          <w:highlight w:val="none"/>
          <w:lang w:val="en-US" w:eastAsia="zh-CN"/>
        </w:rPr>
        <w:t>设施和</w:t>
      </w:r>
      <w:r>
        <w:rPr>
          <w:rFonts w:hint="eastAsia" w:ascii="Times New Roman" w:hAnsi="Times New Roman" w:eastAsia="仿宋_GB2312" w:cs="Times New Roman"/>
          <w:snapToGrid w:val="0"/>
          <w:color w:val="auto"/>
          <w:spacing w:val="2"/>
          <w:kern w:val="0"/>
          <w:sz w:val="32"/>
          <w:szCs w:val="32"/>
          <w:highlight w:val="none"/>
          <w:lang w:val="en-US" w:eastAsia="zh-CN"/>
        </w:rPr>
        <w:t>监控设施</w:t>
      </w:r>
      <w:r>
        <w:rPr>
          <w:rFonts w:hint="eastAsia" w:eastAsia="仿宋_GB2312" w:cs="Times New Roman"/>
          <w:snapToGrid w:val="0"/>
          <w:color w:val="auto"/>
          <w:spacing w:val="2"/>
          <w:kern w:val="0"/>
          <w:sz w:val="32"/>
          <w:szCs w:val="32"/>
          <w:highlight w:val="none"/>
          <w:lang w:val="en-US" w:eastAsia="zh-CN"/>
        </w:rPr>
        <w:t>的执行标准，</w:t>
      </w:r>
      <w:r>
        <w:rPr>
          <w:rFonts w:hint="eastAsia" w:ascii="Times New Roman" w:hAnsi="Times New Roman" w:eastAsia="仿宋_GB2312" w:cs="Times New Roman"/>
          <w:snapToGrid w:val="0"/>
          <w:color w:val="auto"/>
          <w:spacing w:val="2"/>
          <w:kern w:val="0"/>
          <w:sz w:val="32"/>
          <w:szCs w:val="32"/>
          <w:highlight w:val="none"/>
          <w:lang w:val="en-US" w:eastAsia="zh-CN"/>
        </w:rPr>
        <w:t>提升行业服务质量。</w:t>
      </w:r>
    </w:p>
    <w:p w14:paraId="7F72CB67">
      <w:pPr>
        <w:keepNext w:val="0"/>
        <w:keepLines w:val="0"/>
        <w:pageBreakBefore w:val="0"/>
        <w:wordWrap/>
        <w:overflowPunct/>
        <w:topLinePunct w:val="0"/>
        <w:bidi w:val="0"/>
        <w:spacing w:line="578" w:lineRule="exact"/>
        <w:ind w:firstLine="0" w:firstLineChars="0"/>
        <w:rPr>
          <w:rFonts w:hint="eastAsia" w:ascii="Times New Roman" w:hAnsi="Times New Roman" w:eastAsia="仿宋_GB2312" w:cs="Times New Roman"/>
          <w:snapToGrid w:val="0"/>
          <w:color w:val="auto"/>
          <w:spacing w:val="2"/>
          <w:kern w:val="0"/>
          <w:sz w:val="32"/>
          <w:szCs w:val="32"/>
          <w:highlight w:val="none"/>
          <w:lang w:val="en-US" w:eastAsia="zh-CN"/>
        </w:rPr>
      </w:pPr>
    </w:p>
    <w:p w14:paraId="62CABC12">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Times New Roman" w:hAnsi="Times New Roman" w:eastAsia="黑体" w:cs="Times New Roman"/>
          <w:b w:val="0"/>
          <w:bCs w:val="0"/>
          <w:snapToGrid w:val="0"/>
          <w:color w:val="auto"/>
          <w:spacing w:val="57"/>
          <w:kern w:val="0"/>
          <w:sz w:val="32"/>
          <w:szCs w:val="32"/>
          <w:highlight w:val="none"/>
          <w:lang w:val="en-US" w:eastAsia="zh-CN"/>
        </w:rPr>
      </w:pPr>
      <w:r>
        <w:rPr>
          <w:rFonts w:hint="eastAsia" w:ascii="Times New Roman" w:hAnsi="Times New Roman" w:eastAsia="黑体" w:cs="Times New Roman"/>
          <w:b w:val="0"/>
          <w:bCs w:val="0"/>
          <w:snapToGrid w:val="0"/>
          <w:color w:val="auto"/>
          <w:spacing w:val="57"/>
          <w:kern w:val="0"/>
          <w:sz w:val="32"/>
          <w:szCs w:val="32"/>
          <w:highlight w:val="none"/>
          <w:lang w:val="en-US" w:eastAsia="zh-CN"/>
        </w:rPr>
        <w:t>第二章 经营管理</w:t>
      </w:r>
    </w:p>
    <w:p w14:paraId="60BE33A4">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七</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b/>
          <w:bCs/>
          <w:snapToGrid w:val="0"/>
          <w:color w:val="auto"/>
          <w:spacing w:val="2"/>
          <w:kern w:val="0"/>
          <w:sz w:val="32"/>
          <w:szCs w:val="32"/>
          <w:highlight w:val="none"/>
          <w:lang w:val="en-US" w:eastAsia="zh-CN"/>
        </w:rPr>
        <w:t xml:space="preserve"> </w:t>
      </w:r>
      <w:r>
        <w:rPr>
          <w:rFonts w:hint="eastAsia" w:eastAsia="仿宋_GB2312" w:cs="Times New Roman"/>
          <w:b w:val="0"/>
          <w:bCs w:val="0"/>
          <w:snapToGrid w:val="0"/>
          <w:color w:val="auto"/>
          <w:spacing w:val="2"/>
          <w:kern w:val="0"/>
          <w:sz w:val="32"/>
          <w:szCs w:val="32"/>
          <w:highlight w:val="none"/>
          <w:lang w:val="en-US" w:eastAsia="zh-CN"/>
        </w:rPr>
        <w:t>使用</w:t>
      </w:r>
      <w:r>
        <w:rPr>
          <w:rFonts w:hint="eastAsia" w:eastAsia="仿宋_GB2312" w:cs="Times New Roman"/>
          <w:snapToGrid w:val="0"/>
          <w:color w:val="auto"/>
          <w:spacing w:val="2"/>
          <w:kern w:val="0"/>
          <w:sz w:val="32"/>
          <w:szCs w:val="32"/>
          <w:highlight w:val="none"/>
          <w:lang w:val="en-US" w:eastAsia="zh-CN"/>
        </w:rPr>
        <w:t>摩托艇</w:t>
      </w:r>
      <w:r>
        <w:rPr>
          <w:rFonts w:hint="eastAsia" w:ascii="Times New Roman" w:hAnsi="Times New Roman" w:eastAsia="仿宋_GB2312" w:cs="Times New Roman"/>
          <w:snapToGrid w:val="0"/>
          <w:color w:val="auto"/>
          <w:spacing w:val="2"/>
          <w:kern w:val="0"/>
          <w:sz w:val="32"/>
          <w:szCs w:val="32"/>
          <w:highlight w:val="none"/>
          <w:lang w:val="en-US" w:eastAsia="zh-CN"/>
        </w:rPr>
        <w:t>从事</w:t>
      </w:r>
      <w:r>
        <w:rPr>
          <w:rFonts w:hint="eastAsia" w:eastAsia="仿宋_GB2312" w:cs="Times New Roman"/>
          <w:snapToGrid w:val="0"/>
          <w:color w:val="auto"/>
          <w:spacing w:val="2"/>
          <w:kern w:val="0"/>
          <w:sz w:val="32"/>
          <w:szCs w:val="32"/>
          <w:highlight w:val="none"/>
          <w:lang w:val="en-US" w:eastAsia="zh-CN"/>
        </w:rPr>
        <w:t>旅游</w:t>
      </w:r>
      <w:r>
        <w:rPr>
          <w:rFonts w:hint="eastAsia" w:ascii="Times New Roman" w:hAnsi="Times New Roman" w:eastAsia="仿宋_GB2312" w:cs="Times New Roman"/>
          <w:snapToGrid w:val="0"/>
          <w:color w:val="auto"/>
          <w:spacing w:val="2"/>
          <w:kern w:val="0"/>
          <w:sz w:val="32"/>
          <w:szCs w:val="32"/>
          <w:highlight w:val="none"/>
          <w:lang w:val="en-US" w:eastAsia="zh-CN"/>
        </w:rPr>
        <w:t>经营</w:t>
      </w:r>
      <w:r>
        <w:rPr>
          <w:rFonts w:hint="eastAsia" w:eastAsia="仿宋_GB2312" w:cs="Times New Roman"/>
          <w:snapToGrid w:val="0"/>
          <w:color w:val="auto"/>
          <w:spacing w:val="2"/>
          <w:kern w:val="0"/>
          <w:sz w:val="32"/>
          <w:szCs w:val="32"/>
          <w:highlight w:val="none"/>
          <w:lang w:val="en-US" w:eastAsia="zh-CN"/>
        </w:rPr>
        <w:t>项目的</w:t>
      </w:r>
      <w:r>
        <w:rPr>
          <w:rFonts w:hint="eastAsia" w:ascii="Times New Roman" w:hAnsi="Times New Roman" w:eastAsia="仿宋_GB2312" w:cs="Times New Roman"/>
          <w:snapToGrid w:val="0"/>
          <w:color w:val="auto"/>
          <w:spacing w:val="2"/>
          <w:kern w:val="0"/>
          <w:sz w:val="32"/>
          <w:szCs w:val="32"/>
          <w:highlight w:val="none"/>
          <w:lang w:val="en-US" w:eastAsia="zh-CN"/>
        </w:rPr>
        <w:t>，应当依法办理市场主体登记。</w:t>
      </w:r>
    </w:p>
    <w:p w14:paraId="327B16FB">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使用特定海域开展排他性经营活动持续三个月以上的，应当依法取得海域使用权</w:t>
      </w:r>
      <w:r>
        <w:rPr>
          <w:rFonts w:hint="eastAsia" w:eastAsia="仿宋_GB2312" w:cs="Times New Roman"/>
          <w:snapToGrid w:val="0"/>
          <w:color w:val="auto"/>
          <w:spacing w:val="2"/>
          <w:kern w:val="0"/>
          <w:sz w:val="32"/>
          <w:szCs w:val="32"/>
          <w:highlight w:val="none"/>
          <w:lang w:val="en-US" w:eastAsia="zh-CN"/>
        </w:rPr>
        <w:t>；使用特定海域开展排他性经营活动持续不足三个月的，应当依法取得临时海域使用权。</w:t>
      </w:r>
    </w:p>
    <w:p w14:paraId="073313BC">
      <w:pPr>
        <w:pStyle w:val="2"/>
        <w:rPr>
          <w:rFonts w:hint="eastAsia"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八</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b/>
          <w:bCs/>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rPr>
        <w:t>摩托艇旅游项目管理工作实行信息备案，未经信息备案不得开展摩托艇旅游经营活动。</w:t>
      </w:r>
    </w:p>
    <w:p w14:paraId="2D8B803F">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各区政府负责辖区内摩托艇旅游项目的信息备案和日常监管工作，编号信息与备案数据同步到三亚市摩托艇旅游项目智能监管服务平台，由旅游服务中心统一核发摩托艇唯一识别号牌。</w:t>
      </w:r>
    </w:p>
    <w:p w14:paraId="47456562">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第九条</w:t>
      </w:r>
      <w:r>
        <w:rPr>
          <w:rFonts w:hint="eastAsia" w:eastAsia="仿宋_GB2312" w:cs="Times New Roman"/>
          <w:snapToGrid w:val="0"/>
          <w:color w:val="auto"/>
          <w:spacing w:val="2"/>
          <w:kern w:val="0"/>
          <w:sz w:val="32"/>
          <w:szCs w:val="32"/>
          <w:highlight w:val="none"/>
          <w:lang w:val="en-US" w:eastAsia="zh-CN"/>
        </w:rPr>
        <w:t xml:space="preserve"> 经营者应当依法向各区政府备案，提交下列材料：</w:t>
      </w:r>
    </w:p>
    <w:p w14:paraId="6F2C2A0C">
      <w:pPr>
        <w:rPr>
          <w:rFonts w:hint="default" w:ascii="Times New Roman" w:hAnsi="Times New Roman" w:eastAsia="仿宋_GB2312" w:cs="Times New Roman"/>
          <w:snapToGrid w:val="0"/>
          <w:color w:val="auto"/>
          <w:spacing w:val="2"/>
          <w:kern w:val="0"/>
          <w:sz w:val="32"/>
          <w:szCs w:val="32"/>
          <w:highlight w:val="none"/>
          <w:lang w:val="en-US" w:eastAsia="zh-CN" w:bidi="ar-SA"/>
        </w:rPr>
      </w:pPr>
      <w:r>
        <w:rPr>
          <w:rFonts w:hint="eastAsia" w:ascii="Times New Roman" w:hAnsi="Times New Roman" w:eastAsia="仿宋_GB2312" w:cs="Times New Roman"/>
          <w:snapToGrid w:val="0"/>
          <w:color w:val="auto"/>
          <w:spacing w:val="2"/>
          <w:kern w:val="0"/>
          <w:sz w:val="32"/>
          <w:szCs w:val="32"/>
          <w:highlight w:val="none"/>
          <w:lang w:val="en-US" w:eastAsia="zh-CN" w:bidi="ar-SA"/>
        </w:rPr>
        <w:t>（一）经营资质</w:t>
      </w:r>
      <w:r>
        <w:rPr>
          <w:rFonts w:hint="eastAsia" w:eastAsia="仿宋_GB2312" w:cs="Times New Roman"/>
          <w:snapToGrid w:val="0"/>
          <w:color w:val="auto"/>
          <w:spacing w:val="2"/>
          <w:kern w:val="0"/>
          <w:sz w:val="32"/>
          <w:szCs w:val="32"/>
          <w:highlight w:val="none"/>
          <w:lang w:val="en-US" w:eastAsia="zh-CN" w:bidi="ar-SA"/>
        </w:rPr>
        <w:t>；</w:t>
      </w:r>
    </w:p>
    <w:p w14:paraId="4488CBF5">
      <w:pPr>
        <w:rPr>
          <w:rFonts w:hint="eastAsia" w:ascii="Times New Roman" w:hAnsi="Times New Roman" w:eastAsia="仿宋_GB2312" w:cs="Times New Roman"/>
          <w:snapToGrid w:val="0"/>
          <w:color w:val="auto"/>
          <w:spacing w:val="2"/>
          <w:kern w:val="0"/>
          <w:sz w:val="32"/>
          <w:szCs w:val="32"/>
          <w:highlight w:val="none"/>
          <w:lang w:val="en-US" w:eastAsia="zh-CN" w:bidi="ar-SA"/>
        </w:rPr>
      </w:pPr>
      <w:r>
        <w:rPr>
          <w:rFonts w:hint="eastAsia" w:ascii="Times New Roman" w:hAnsi="Times New Roman" w:eastAsia="仿宋_GB2312" w:cs="Times New Roman"/>
          <w:snapToGrid w:val="0"/>
          <w:color w:val="auto"/>
          <w:spacing w:val="2"/>
          <w:kern w:val="0"/>
          <w:sz w:val="32"/>
          <w:szCs w:val="32"/>
          <w:highlight w:val="none"/>
          <w:lang w:val="en-US" w:eastAsia="zh-CN" w:bidi="ar-SA"/>
        </w:rPr>
        <w:t>（二）</w:t>
      </w:r>
      <w:r>
        <w:rPr>
          <w:rFonts w:hint="eastAsia" w:eastAsia="仿宋_GB2312" w:cs="Times New Roman"/>
          <w:snapToGrid w:val="0"/>
          <w:color w:val="auto"/>
          <w:spacing w:val="2"/>
          <w:kern w:val="0"/>
          <w:sz w:val="32"/>
          <w:szCs w:val="32"/>
          <w:highlight w:val="none"/>
          <w:lang w:val="en-US" w:eastAsia="zh-CN" w:bidi="ar-SA"/>
        </w:rPr>
        <w:t>摩托艇</w:t>
      </w:r>
      <w:r>
        <w:rPr>
          <w:rFonts w:hint="eastAsia" w:ascii="Times New Roman" w:hAnsi="Times New Roman" w:eastAsia="仿宋_GB2312" w:cs="Times New Roman"/>
          <w:snapToGrid w:val="0"/>
          <w:color w:val="auto"/>
          <w:spacing w:val="2"/>
          <w:kern w:val="0"/>
          <w:sz w:val="32"/>
          <w:szCs w:val="32"/>
          <w:highlight w:val="none"/>
          <w:lang w:val="en-US" w:eastAsia="zh-CN" w:bidi="ar-SA"/>
        </w:rPr>
        <w:t>所有权证明；</w:t>
      </w:r>
    </w:p>
    <w:p w14:paraId="61285D0A">
      <w:pPr>
        <w:rPr>
          <w:rFonts w:hint="eastAsia" w:ascii="Times New Roman" w:hAnsi="Times New Roman" w:eastAsia="仿宋_GB2312" w:cs="Times New Roman"/>
          <w:snapToGrid w:val="0"/>
          <w:color w:val="auto"/>
          <w:spacing w:val="2"/>
          <w:kern w:val="0"/>
          <w:sz w:val="32"/>
          <w:szCs w:val="32"/>
          <w:highlight w:val="none"/>
          <w:lang w:val="en-US" w:eastAsia="zh-CN" w:bidi="ar-SA"/>
        </w:rPr>
      </w:pPr>
      <w:r>
        <w:rPr>
          <w:rFonts w:hint="eastAsia" w:ascii="Times New Roman" w:hAnsi="Times New Roman" w:eastAsia="仿宋_GB2312" w:cs="Times New Roman"/>
          <w:snapToGrid w:val="0"/>
          <w:color w:val="auto"/>
          <w:spacing w:val="2"/>
          <w:kern w:val="0"/>
          <w:sz w:val="32"/>
          <w:szCs w:val="32"/>
          <w:highlight w:val="none"/>
          <w:lang w:val="en-US" w:eastAsia="zh-CN" w:bidi="ar-SA"/>
        </w:rPr>
        <w:t>（三）</w:t>
      </w:r>
      <w:r>
        <w:rPr>
          <w:rFonts w:hint="eastAsia" w:eastAsia="仿宋_GB2312" w:cs="Times New Roman"/>
          <w:snapToGrid w:val="0"/>
          <w:color w:val="auto"/>
          <w:spacing w:val="2"/>
          <w:kern w:val="0"/>
          <w:sz w:val="32"/>
          <w:szCs w:val="32"/>
          <w:highlight w:val="none"/>
          <w:lang w:val="en-US" w:eastAsia="zh-CN" w:bidi="ar-SA"/>
        </w:rPr>
        <w:t>摩托艇</w:t>
      </w:r>
      <w:r>
        <w:rPr>
          <w:rFonts w:hint="eastAsia" w:ascii="Times New Roman" w:hAnsi="Times New Roman" w:eastAsia="仿宋_GB2312" w:cs="Times New Roman"/>
          <w:snapToGrid w:val="0"/>
          <w:color w:val="auto"/>
          <w:spacing w:val="2"/>
          <w:kern w:val="0"/>
          <w:sz w:val="32"/>
          <w:szCs w:val="32"/>
          <w:highlight w:val="none"/>
          <w:lang w:val="en-US" w:eastAsia="zh-CN" w:bidi="ar-SA"/>
        </w:rPr>
        <w:t>检验合格证书及第三方检测机构出具的安全性能检测报告；</w:t>
      </w:r>
    </w:p>
    <w:p w14:paraId="31FF0753">
      <w:pPr>
        <w:rPr>
          <w:rFonts w:hint="eastAsia" w:ascii="Times New Roman" w:hAnsi="Times New Roman" w:eastAsia="仿宋_GB2312" w:cs="Times New Roman"/>
          <w:snapToGrid w:val="0"/>
          <w:color w:val="auto"/>
          <w:spacing w:val="2"/>
          <w:kern w:val="0"/>
          <w:sz w:val="32"/>
          <w:szCs w:val="32"/>
          <w:highlight w:val="none"/>
          <w:lang w:val="en-US" w:eastAsia="zh-CN" w:bidi="ar-SA"/>
        </w:rPr>
      </w:pPr>
      <w:r>
        <w:rPr>
          <w:rFonts w:hint="eastAsia" w:ascii="Times New Roman" w:hAnsi="Times New Roman" w:eastAsia="仿宋_GB2312" w:cs="Times New Roman"/>
          <w:snapToGrid w:val="0"/>
          <w:color w:val="auto"/>
          <w:spacing w:val="2"/>
          <w:kern w:val="0"/>
          <w:sz w:val="32"/>
          <w:szCs w:val="32"/>
          <w:highlight w:val="none"/>
          <w:lang w:val="en-US" w:eastAsia="zh-CN" w:bidi="ar-SA"/>
        </w:rPr>
        <w:t>（四）投保证明；</w:t>
      </w:r>
    </w:p>
    <w:p w14:paraId="6271A919">
      <w:pPr>
        <w:rPr>
          <w:rFonts w:hint="eastAsia" w:ascii="Times New Roman" w:hAnsi="Times New Roman" w:eastAsia="仿宋_GB2312" w:cs="Times New Roman"/>
          <w:snapToGrid w:val="0"/>
          <w:color w:val="auto"/>
          <w:spacing w:val="2"/>
          <w:kern w:val="0"/>
          <w:sz w:val="32"/>
          <w:szCs w:val="32"/>
          <w:highlight w:val="none"/>
          <w:lang w:val="en-US" w:eastAsia="zh-CN" w:bidi="ar-SA"/>
        </w:rPr>
      </w:pPr>
      <w:r>
        <w:rPr>
          <w:rFonts w:hint="eastAsia" w:ascii="Times New Roman" w:hAnsi="Times New Roman" w:eastAsia="仿宋_GB2312" w:cs="Times New Roman"/>
          <w:snapToGrid w:val="0"/>
          <w:color w:val="auto"/>
          <w:spacing w:val="2"/>
          <w:kern w:val="0"/>
          <w:sz w:val="32"/>
          <w:szCs w:val="32"/>
          <w:highlight w:val="none"/>
          <w:lang w:val="en-US" w:eastAsia="zh-CN" w:bidi="ar-SA"/>
        </w:rPr>
        <w:t>（五）定位装置安装证明；</w:t>
      </w:r>
    </w:p>
    <w:p w14:paraId="39B615A9">
      <w:pPr>
        <w:rPr>
          <w:rFonts w:hint="eastAsia" w:ascii="Times New Roman" w:hAnsi="Times New Roman" w:eastAsia="仿宋_GB2312" w:cs="Times New Roman"/>
          <w:snapToGrid w:val="0"/>
          <w:color w:val="auto"/>
          <w:spacing w:val="2"/>
          <w:kern w:val="0"/>
          <w:sz w:val="32"/>
          <w:szCs w:val="32"/>
          <w:highlight w:val="none"/>
          <w:lang w:val="en-US" w:eastAsia="zh-CN" w:bidi="ar-SA"/>
        </w:rPr>
      </w:pPr>
      <w:r>
        <w:rPr>
          <w:rFonts w:hint="eastAsia" w:ascii="Times New Roman" w:hAnsi="Times New Roman" w:eastAsia="仿宋_GB2312" w:cs="Times New Roman"/>
          <w:snapToGrid w:val="0"/>
          <w:color w:val="auto"/>
          <w:spacing w:val="2"/>
          <w:kern w:val="0"/>
          <w:sz w:val="32"/>
          <w:szCs w:val="32"/>
          <w:highlight w:val="none"/>
          <w:lang w:val="en-US" w:eastAsia="zh-CN" w:bidi="ar-SA"/>
        </w:rPr>
        <w:t>（六）</w:t>
      </w:r>
      <w:r>
        <w:rPr>
          <w:rFonts w:hint="eastAsia" w:eastAsia="仿宋_GB2312" w:cs="Times New Roman"/>
          <w:snapToGrid w:val="0"/>
          <w:color w:val="auto"/>
          <w:spacing w:val="2"/>
          <w:kern w:val="0"/>
          <w:sz w:val="32"/>
          <w:szCs w:val="32"/>
          <w:highlight w:val="none"/>
          <w:lang w:val="en-US" w:eastAsia="zh-CN" w:bidi="ar-SA"/>
        </w:rPr>
        <w:t>摩托艇相关从业人员</w:t>
      </w:r>
      <w:r>
        <w:rPr>
          <w:rFonts w:hint="eastAsia" w:ascii="Times New Roman" w:hAnsi="Times New Roman" w:eastAsia="仿宋_GB2312" w:cs="Times New Roman"/>
          <w:snapToGrid w:val="0"/>
          <w:color w:val="auto"/>
          <w:spacing w:val="2"/>
          <w:kern w:val="0"/>
          <w:sz w:val="32"/>
          <w:szCs w:val="32"/>
          <w:highlight w:val="none"/>
          <w:lang w:val="en-US" w:eastAsia="zh-CN" w:bidi="ar-SA"/>
        </w:rPr>
        <w:t>档案</w:t>
      </w:r>
      <w:r>
        <w:rPr>
          <w:rFonts w:hint="eastAsia" w:eastAsia="仿宋_GB2312" w:cs="Times New Roman"/>
          <w:snapToGrid w:val="0"/>
          <w:color w:val="auto"/>
          <w:spacing w:val="2"/>
          <w:kern w:val="0"/>
          <w:sz w:val="32"/>
          <w:szCs w:val="32"/>
          <w:highlight w:val="none"/>
          <w:lang w:val="en-US" w:eastAsia="zh-CN" w:bidi="ar-SA"/>
        </w:rPr>
        <w:t>；</w:t>
      </w:r>
    </w:p>
    <w:p w14:paraId="4BA615C2">
      <w:pPr>
        <w:rPr>
          <w:rFonts w:hint="eastAsia" w:eastAsia="仿宋_GB2312" w:cs="Times New Roman"/>
          <w:snapToGrid w:val="0"/>
          <w:color w:val="auto"/>
          <w:spacing w:val="2"/>
          <w:kern w:val="0"/>
          <w:sz w:val="32"/>
          <w:szCs w:val="32"/>
          <w:highlight w:val="none"/>
          <w:lang w:val="en-US" w:eastAsia="zh-CN" w:bidi="ar-SA"/>
        </w:rPr>
      </w:pPr>
      <w:r>
        <w:rPr>
          <w:rFonts w:hint="eastAsia" w:ascii="Times New Roman" w:hAnsi="Times New Roman" w:eastAsia="仿宋_GB2312" w:cs="Times New Roman"/>
          <w:snapToGrid w:val="0"/>
          <w:color w:val="auto"/>
          <w:spacing w:val="2"/>
          <w:kern w:val="0"/>
          <w:sz w:val="32"/>
          <w:szCs w:val="32"/>
          <w:highlight w:val="none"/>
          <w:lang w:val="en-US" w:eastAsia="zh-CN" w:bidi="ar-SA"/>
        </w:rPr>
        <w:t>（七）应急预案与演练记录</w:t>
      </w:r>
      <w:r>
        <w:rPr>
          <w:rFonts w:hint="eastAsia" w:eastAsia="仿宋_GB2312" w:cs="Times New Roman"/>
          <w:snapToGrid w:val="0"/>
          <w:color w:val="auto"/>
          <w:spacing w:val="2"/>
          <w:kern w:val="0"/>
          <w:sz w:val="32"/>
          <w:szCs w:val="32"/>
          <w:highlight w:val="none"/>
          <w:lang w:val="en-US" w:eastAsia="zh-CN" w:bidi="ar-SA"/>
        </w:rPr>
        <w:t>；</w:t>
      </w:r>
    </w:p>
    <w:p w14:paraId="3F341908">
      <w:pPr>
        <w:rPr>
          <w:rFonts w:hint="eastAsia" w:eastAsia="仿宋_GB2312" w:cs="Times New Roman"/>
          <w:snapToGrid w:val="0"/>
          <w:color w:val="auto"/>
          <w:spacing w:val="2"/>
          <w:kern w:val="0"/>
          <w:sz w:val="32"/>
          <w:szCs w:val="32"/>
          <w:highlight w:val="none"/>
          <w:lang w:val="en-US" w:eastAsia="zh-CN" w:bidi="ar-SA"/>
        </w:rPr>
      </w:pPr>
      <w:r>
        <w:rPr>
          <w:rFonts w:hint="eastAsia" w:eastAsia="仿宋_GB2312" w:cs="Times New Roman"/>
          <w:snapToGrid w:val="0"/>
          <w:color w:val="auto"/>
          <w:spacing w:val="2"/>
          <w:kern w:val="0"/>
          <w:sz w:val="32"/>
          <w:szCs w:val="32"/>
          <w:highlight w:val="none"/>
          <w:lang w:val="en-US" w:eastAsia="zh-CN" w:bidi="ar-SA"/>
        </w:rPr>
        <w:t>（八）其他相关材料。</w:t>
      </w:r>
    </w:p>
    <w:p w14:paraId="4DA720C1">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经营者必</w:t>
      </w:r>
      <w:r>
        <w:rPr>
          <w:rFonts w:hint="eastAsia" w:ascii="Times New Roman" w:hAnsi="Times New Roman" w:eastAsia="仿宋_GB2312" w:cs="Times New Roman"/>
          <w:snapToGrid w:val="0"/>
          <w:color w:val="auto"/>
          <w:spacing w:val="2"/>
          <w:kern w:val="0"/>
          <w:sz w:val="32"/>
          <w:szCs w:val="32"/>
          <w:highlight w:val="none"/>
          <w:lang w:val="en-US" w:eastAsia="zh-CN"/>
        </w:rPr>
        <w:t>须在</w:t>
      </w:r>
      <w:r>
        <w:rPr>
          <w:rFonts w:hint="eastAsia" w:eastAsia="仿宋_GB2312" w:cs="Times New Roman"/>
          <w:snapToGrid w:val="0"/>
          <w:color w:val="auto"/>
          <w:spacing w:val="2"/>
          <w:kern w:val="0"/>
          <w:sz w:val="32"/>
          <w:szCs w:val="32"/>
          <w:highlight w:val="none"/>
          <w:lang w:val="en-US" w:eastAsia="zh-CN"/>
        </w:rPr>
        <w:t>摩托艇船</w:t>
      </w:r>
      <w:r>
        <w:rPr>
          <w:rFonts w:hint="eastAsia" w:ascii="Times New Roman" w:hAnsi="Times New Roman" w:eastAsia="仿宋_GB2312" w:cs="Times New Roman"/>
          <w:snapToGrid w:val="0"/>
          <w:color w:val="auto"/>
          <w:spacing w:val="2"/>
          <w:kern w:val="0"/>
          <w:sz w:val="32"/>
          <w:szCs w:val="32"/>
          <w:highlight w:val="none"/>
          <w:lang w:val="en-US" w:eastAsia="zh-CN"/>
        </w:rPr>
        <w:t>身</w:t>
      </w:r>
      <w:r>
        <w:rPr>
          <w:rFonts w:hint="eastAsia" w:eastAsia="仿宋_GB2312" w:cs="Times New Roman"/>
          <w:snapToGrid w:val="0"/>
          <w:color w:val="auto"/>
          <w:spacing w:val="2"/>
          <w:kern w:val="0"/>
          <w:sz w:val="32"/>
          <w:szCs w:val="32"/>
          <w:highlight w:val="none"/>
          <w:lang w:val="en-US" w:eastAsia="zh-CN"/>
        </w:rPr>
        <w:t>规定</w:t>
      </w:r>
      <w:r>
        <w:rPr>
          <w:rFonts w:hint="eastAsia" w:ascii="Times New Roman" w:hAnsi="Times New Roman" w:eastAsia="仿宋_GB2312" w:cs="Times New Roman"/>
          <w:snapToGrid w:val="0"/>
          <w:color w:val="auto"/>
          <w:spacing w:val="2"/>
          <w:kern w:val="0"/>
          <w:sz w:val="32"/>
          <w:szCs w:val="32"/>
          <w:highlight w:val="none"/>
          <w:lang w:val="en-US" w:eastAsia="zh-CN"/>
        </w:rPr>
        <w:t>位置</w:t>
      </w:r>
      <w:r>
        <w:rPr>
          <w:rFonts w:hint="eastAsia" w:eastAsia="仿宋_GB2312" w:cs="Times New Roman"/>
          <w:snapToGrid w:val="0"/>
          <w:color w:val="auto"/>
          <w:spacing w:val="2"/>
          <w:kern w:val="0"/>
          <w:sz w:val="32"/>
          <w:szCs w:val="32"/>
          <w:highlight w:val="none"/>
          <w:lang w:val="en-US" w:eastAsia="zh-CN"/>
        </w:rPr>
        <w:t>安装</w:t>
      </w:r>
      <w:r>
        <w:rPr>
          <w:rFonts w:hint="eastAsia" w:ascii="Times New Roman" w:hAnsi="Times New Roman" w:eastAsia="仿宋_GB2312" w:cs="Times New Roman"/>
          <w:snapToGrid w:val="0"/>
          <w:color w:val="auto"/>
          <w:spacing w:val="2"/>
          <w:kern w:val="0"/>
          <w:sz w:val="32"/>
          <w:szCs w:val="32"/>
          <w:highlight w:val="none"/>
          <w:lang w:val="en-US" w:eastAsia="zh-CN"/>
        </w:rPr>
        <w:t>唯一识别号牌，</w:t>
      </w:r>
      <w:r>
        <w:rPr>
          <w:rFonts w:hint="eastAsia" w:eastAsia="仿宋_GB2312" w:cs="Times New Roman"/>
          <w:snapToGrid w:val="0"/>
          <w:color w:val="auto"/>
          <w:spacing w:val="2"/>
          <w:kern w:val="0"/>
          <w:sz w:val="32"/>
          <w:szCs w:val="32"/>
          <w:highlight w:val="none"/>
          <w:lang w:val="en-US" w:eastAsia="zh-CN"/>
        </w:rPr>
        <w:t>要求</w:t>
      </w:r>
      <w:r>
        <w:rPr>
          <w:rFonts w:hint="eastAsia" w:ascii="Times New Roman" w:hAnsi="Times New Roman" w:eastAsia="仿宋_GB2312" w:cs="Times New Roman"/>
          <w:snapToGrid w:val="0"/>
          <w:color w:val="auto"/>
          <w:spacing w:val="2"/>
          <w:kern w:val="0"/>
          <w:sz w:val="32"/>
          <w:szCs w:val="32"/>
          <w:highlight w:val="none"/>
          <w:lang w:val="en-US" w:eastAsia="zh-CN"/>
        </w:rPr>
        <w:t>字体清晰、不易脱落，不得涂改或</w:t>
      </w:r>
      <w:r>
        <w:rPr>
          <w:rFonts w:hint="eastAsia" w:eastAsia="仿宋_GB2312" w:cs="Times New Roman"/>
          <w:snapToGrid w:val="0"/>
          <w:color w:val="auto"/>
          <w:spacing w:val="2"/>
          <w:kern w:val="0"/>
          <w:sz w:val="32"/>
          <w:szCs w:val="32"/>
          <w:highlight w:val="none"/>
          <w:lang w:val="en-US" w:eastAsia="zh-CN"/>
        </w:rPr>
        <w:t>者</w:t>
      </w:r>
      <w:r>
        <w:rPr>
          <w:rFonts w:hint="eastAsia" w:ascii="Times New Roman" w:hAnsi="Times New Roman" w:eastAsia="仿宋_GB2312" w:cs="Times New Roman"/>
          <w:snapToGrid w:val="0"/>
          <w:color w:val="auto"/>
          <w:spacing w:val="2"/>
          <w:kern w:val="0"/>
          <w:sz w:val="32"/>
          <w:szCs w:val="32"/>
          <w:highlight w:val="none"/>
          <w:lang w:val="en-US" w:eastAsia="zh-CN"/>
        </w:rPr>
        <w:t>遮挡。</w:t>
      </w:r>
    </w:p>
    <w:p w14:paraId="6146678D">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第十条</w:t>
      </w:r>
      <w:r>
        <w:rPr>
          <w:rFonts w:hint="eastAsia" w:ascii="Times New Roman" w:hAnsi="Times New Roman" w:eastAsia="仿宋_GB2312" w:cs="Times New Roman"/>
          <w:b/>
          <w:bCs/>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从事</w:t>
      </w:r>
      <w:r>
        <w:rPr>
          <w:rFonts w:hint="eastAsia" w:eastAsia="仿宋_GB2312" w:cs="Times New Roman"/>
          <w:snapToGrid w:val="0"/>
          <w:color w:val="auto"/>
          <w:spacing w:val="2"/>
          <w:kern w:val="0"/>
          <w:sz w:val="32"/>
          <w:szCs w:val="32"/>
          <w:highlight w:val="none"/>
          <w:lang w:val="en-US" w:eastAsia="zh-CN"/>
        </w:rPr>
        <w:t>摩托艇旅游项目</w:t>
      </w:r>
      <w:r>
        <w:rPr>
          <w:rFonts w:hint="eastAsia" w:ascii="Times New Roman" w:hAnsi="Times New Roman" w:eastAsia="仿宋_GB2312" w:cs="Times New Roman"/>
          <w:snapToGrid w:val="0"/>
          <w:color w:val="auto"/>
          <w:spacing w:val="2"/>
          <w:kern w:val="0"/>
          <w:sz w:val="32"/>
          <w:szCs w:val="32"/>
          <w:highlight w:val="none"/>
          <w:lang w:val="en-US" w:eastAsia="zh-CN"/>
        </w:rPr>
        <w:t>的驾驶员</w:t>
      </w:r>
      <w:r>
        <w:rPr>
          <w:rFonts w:hint="eastAsia" w:eastAsia="仿宋_GB2312" w:cs="Times New Roman"/>
          <w:snapToGrid w:val="0"/>
          <w:color w:val="auto"/>
          <w:spacing w:val="2"/>
          <w:kern w:val="0"/>
          <w:sz w:val="32"/>
          <w:szCs w:val="32"/>
          <w:highlight w:val="none"/>
          <w:lang w:val="en-US" w:eastAsia="zh-CN"/>
        </w:rPr>
        <w:t>（以下简称驾驶员）、</w:t>
      </w:r>
      <w:r>
        <w:rPr>
          <w:rFonts w:hint="eastAsia" w:ascii="Times New Roman" w:hAnsi="Times New Roman" w:eastAsia="仿宋_GB2312" w:cs="Times New Roman"/>
          <w:snapToGrid w:val="0"/>
          <w:color w:val="auto"/>
          <w:spacing w:val="2"/>
          <w:kern w:val="0"/>
          <w:sz w:val="32"/>
          <w:szCs w:val="32"/>
          <w:highlight w:val="none"/>
          <w:lang w:val="en-US" w:eastAsia="zh-CN"/>
        </w:rPr>
        <w:t>教练员</w:t>
      </w:r>
      <w:r>
        <w:rPr>
          <w:rFonts w:hint="eastAsia" w:eastAsia="仿宋_GB2312" w:cs="Times New Roman"/>
          <w:snapToGrid w:val="0"/>
          <w:color w:val="auto"/>
          <w:spacing w:val="2"/>
          <w:kern w:val="0"/>
          <w:sz w:val="32"/>
          <w:szCs w:val="32"/>
          <w:highlight w:val="none"/>
          <w:lang w:val="en-US" w:eastAsia="zh-CN"/>
        </w:rPr>
        <w:t>（以下简称教练员）以及相关从业人员应当符合摩托艇旅游行业协会制定的行业管理和服务规范相关规定，取得相应资质</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7387FB58">
      <w:pPr>
        <w:keepNext w:val="0"/>
        <w:keepLines w:val="0"/>
        <w:pageBreakBefore w:val="0"/>
        <w:wordWrap/>
        <w:overflowPunct/>
        <w:topLinePunct w:val="0"/>
        <w:bidi w:val="0"/>
        <w:spacing w:line="578" w:lineRule="exact"/>
        <w:ind w:firstLine="651" w:firstLineChars="200"/>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第十</w:t>
      </w:r>
      <w:r>
        <w:rPr>
          <w:rFonts w:hint="eastAsia" w:eastAsia="仿宋_GB2312" w:cs="Times New Roman"/>
          <w:b/>
          <w:bCs/>
          <w:snapToGrid w:val="0"/>
          <w:color w:val="auto"/>
          <w:spacing w:val="2"/>
          <w:kern w:val="0"/>
          <w:sz w:val="32"/>
          <w:szCs w:val="32"/>
          <w:highlight w:val="none"/>
          <w:lang w:val="en-US" w:eastAsia="zh-CN"/>
        </w:rPr>
        <w:t>一</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b/>
          <w:bCs/>
          <w:snapToGrid w:val="0"/>
          <w:color w:val="auto"/>
          <w:spacing w:val="2"/>
          <w:kern w:val="0"/>
          <w:sz w:val="32"/>
          <w:szCs w:val="32"/>
          <w:highlight w:val="none"/>
          <w:lang w:val="en-US" w:eastAsia="zh-CN"/>
        </w:rPr>
        <w:t xml:space="preserve"> </w:t>
      </w:r>
      <w:r>
        <w:rPr>
          <w:rFonts w:hint="eastAsia" w:eastAsia="仿宋_GB2312" w:cs="Times New Roman"/>
          <w:b w:val="0"/>
          <w:bCs w:val="0"/>
          <w:snapToGrid w:val="0"/>
          <w:color w:val="auto"/>
          <w:spacing w:val="2"/>
          <w:kern w:val="0"/>
          <w:sz w:val="32"/>
          <w:szCs w:val="32"/>
          <w:highlight w:val="none"/>
          <w:lang w:val="en-US" w:eastAsia="zh-CN"/>
        </w:rPr>
        <w:t>摩托艇旅游项目消费者（以下简称消费者）应当遵守摩托艇旅游行业协会制定的行业管理和服务规范相关规定。</w:t>
      </w:r>
    </w:p>
    <w:p w14:paraId="15517638">
      <w:pPr>
        <w:keepNext w:val="0"/>
        <w:keepLines w:val="0"/>
        <w:pageBreakBefore w:val="0"/>
        <w:wordWrap/>
        <w:overflowPunct/>
        <w:topLinePunct w:val="0"/>
        <w:bidi w:val="0"/>
        <w:spacing w:line="578" w:lineRule="exact"/>
        <w:rPr>
          <w:rFonts w:hint="eastAsia" w:eastAsia="仿宋_GB2312" w:cs="Times New Roman"/>
          <w:b w:val="0"/>
          <w:bCs w:val="0"/>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第十</w:t>
      </w:r>
      <w:r>
        <w:rPr>
          <w:rFonts w:hint="eastAsia" w:eastAsia="仿宋_GB2312" w:cs="Times New Roman"/>
          <w:b/>
          <w:bCs/>
          <w:snapToGrid w:val="0"/>
          <w:color w:val="auto"/>
          <w:spacing w:val="2"/>
          <w:kern w:val="0"/>
          <w:sz w:val="32"/>
          <w:szCs w:val="32"/>
          <w:highlight w:val="none"/>
          <w:lang w:val="en-US" w:eastAsia="zh-CN"/>
        </w:rPr>
        <w:t>二</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w:t>
      </w:r>
      <w:r>
        <w:rPr>
          <w:rFonts w:hint="eastAsia" w:eastAsia="仿宋_GB2312" w:cs="Times New Roman"/>
          <w:b w:val="0"/>
          <w:bCs w:val="0"/>
          <w:snapToGrid w:val="0"/>
          <w:color w:val="auto"/>
          <w:spacing w:val="2"/>
          <w:kern w:val="0"/>
          <w:sz w:val="32"/>
          <w:szCs w:val="32"/>
          <w:highlight w:val="none"/>
          <w:lang w:val="en-US" w:eastAsia="zh-CN"/>
        </w:rPr>
        <w:t>经营者开展摩托艇旅游项目过程中，必须</w:t>
      </w:r>
      <w:r>
        <w:rPr>
          <w:rFonts w:hint="eastAsia" w:ascii="Times New Roman" w:hAnsi="Times New Roman" w:eastAsia="仿宋_GB2312" w:cs="Times New Roman"/>
          <w:b w:val="0"/>
          <w:bCs w:val="0"/>
          <w:snapToGrid w:val="0"/>
          <w:color w:val="auto"/>
          <w:spacing w:val="2"/>
          <w:kern w:val="0"/>
          <w:sz w:val="32"/>
          <w:szCs w:val="32"/>
          <w:highlight w:val="none"/>
          <w:lang w:val="en-US" w:eastAsia="zh-CN"/>
        </w:rPr>
        <w:t>配备专业的录音录像设备</w:t>
      </w:r>
      <w:r>
        <w:rPr>
          <w:rFonts w:hint="eastAsia" w:eastAsia="仿宋_GB2312" w:cs="Times New Roman"/>
          <w:b w:val="0"/>
          <w:bCs w:val="0"/>
          <w:snapToGrid w:val="0"/>
          <w:color w:val="auto"/>
          <w:spacing w:val="2"/>
          <w:kern w:val="0"/>
          <w:sz w:val="32"/>
          <w:szCs w:val="32"/>
          <w:highlight w:val="none"/>
          <w:lang w:val="en-US" w:eastAsia="zh-CN"/>
        </w:rPr>
        <w:t>，并全程录音录像，并保存三十天以上。</w:t>
      </w:r>
    </w:p>
    <w:p w14:paraId="6554C26D">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经营者必须为每艘摩托艇配备具备实时定位功能的监控设备，活动轨迹同步至三亚市摩托艇智能监管服务平台。</w:t>
      </w:r>
    </w:p>
    <w:p w14:paraId="284B340C">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十三</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摩托艇</w:t>
      </w:r>
      <w:r>
        <w:rPr>
          <w:rFonts w:hint="eastAsia" w:ascii="Times New Roman" w:hAnsi="Times New Roman" w:eastAsia="仿宋_GB2312" w:cs="Times New Roman"/>
          <w:snapToGrid w:val="0"/>
          <w:color w:val="auto"/>
          <w:spacing w:val="2"/>
          <w:kern w:val="0"/>
          <w:sz w:val="32"/>
          <w:szCs w:val="32"/>
          <w:highlight w:val="none"/>
          <w:lang w:val="en-US" w:eastAsia="zh-CN"/>
        </w:rPr>
        <w:t>经营项目价格</w:t>
      </w:r>
      <w:r>
        <w:rPr>
          <w:rFonts w:hint="eastAsia" w:eastAsia="仿宋_GB2312" w:cs="Times New Roman"/>
          <w:snapToGrid w:val="0"/>
          <w:color w:val="auto"/>
          <w:spacing w:val="2"/>
          <w:kern w:val="0"/>
          <w:sz w:val="32"/>
          <w:szCs w:val="32"/>
          <w:highlight w:val="none"/>
          <w:lang w:val="en-US" w:eastAsia="zh-CN"/>
        </w:rPr>
        <w:t>应当</w:t>
      </w:r>
      <w:r>
        <w:rPr>
          <w:rFonts w:hint="eastAsia" w:ascii="Times New Roman" w:hAnsi="Times New Roman" w:eastAsia="仿宋_GB2312" w:cs="Times New Roman"/>
          <w:snapToGrid w:val="0"/>
          <w:color w:val="auto"/>
          <w:spacing w:val="2"/>
          <w:kern w:val="0"/>
          <w:sz w:val="32"/>
          <w:szCs w:val="32"/>
          <w:highlight w:val="none"/>
          <w:lang w:val="en-US" w:eastAsia="zh-CN"/>
        </w:rPr>
        <w:t>明码标价，禁止虚假宣传或</w:t>
      </w:r>
      <w:r>
        <w:rPr>
          <w:rFonts w:hint="eastAsia" w:eastAsia="仿宋_GB2312" w:cs="Times New Roman"/>
          <w:snapToGrid w:val="0"/>
          <w:color w:val="auto"/>
          <w:spacing w:val="2"/>
          <w:kern w:val="0"/>
          <w:sz w:val="32"/>
          <w:szCs w:val="32"/>
          <w:highlight w:val="none"/>
          <w:lang w:val="en-US" w:eastAsia="zh-CN"/>
        </w:rPr>
        <w:t>者</w:t>
      </w:r>
      <w:r>
        <w:rPr>
          <w:rFonts w:hint="eastAsia" w:ascii="Times New Roman" w:hAnsi="Times New Roman" w:eastAsia="仿宋_GB2312" w:cs="Times New Roman"/>
          <w:snapToGrid w:val="0"/>
          <w:color w:val="auto"/>
          <w:spacing w:val="2"/>
          <w:kern w:val="0"/>
          <w:sz w:val="32"/>
          <w:szCs w:val="32"/>
          <w:highlight w:val="none"/>
          <w:lang w:val="en-US" w:eastAsia="zh-CN"/>
        </w:rPr>
        <w:t>价格欺诈。</w:t>
      </w:r>
    </w:p>
    <w:p w14:paraId="4436CF3A">
      <w:pPr>
        <w:keepNext w:val="0"/>
        <w:keepLines w:val="0"/>
        <w:pageBreakBefore w:val="0"/>
        <w:wordWrap/>
        <w:overflowPunct/>
        <w:topLinePunct w:val="0"/>
        <w:bidi w:val="0"/>
        <w:spacing w:line="578" w:lineRule="exact"/>
        <w:rPr>
          <w:rFonts w:hint="eastAsia"/>
          <w:color w:val="auto"/>
        </w:rPr>
      </w:pPr>
      <w:r>
        <w:rPr>
          <w:rFonts w:hint="eastAsia" w:eastAsia="仿宋_GB2312" w:cs="Times New Roman"/>
          <w:b/>
          <w:bCs/>
          <w:snapToGrid w:val="0"/>
          <w:color w:val="auto"/>
          <w:spacing w:val="2"/>
          <w:kern w:val="0"/>
          <w:sz w:val="32"/>
          <w:szCs w:val="32"/>
          <w:highlight w:val="none"/>
          <w:lang w:val="en-US" w:eastAsia="zh-CN"/>
        </w:rPr>
        <w:t>第十四条</w:t>
      </w:r>
      <w:r>
        <w:rPr>
          <w:rFonts w:hint="eastAsia" w:eastAsia="仿宋_GB2312" w:cs="Times New Roman"/>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经营者应</w:t>
      </w:r>
      <w:r>
        <w:rPr>
          <w:rFonts w:hint="eastAsia" w:eastAsia="仿宋_GB2312" w:cs="Times New Roman"/>
          <w:snapToGrid w:val="0"/>
          <w:color w:val="auto"/>
          <w:spacing w:val="2"/>
          <w:kern w:val="0"/>
          <w:sz w:val="32"/>
          <w:szCs w:val="32"/>
          <w:highlight w:val="none"/>
          <w:lang w:val="en-US" w:eastAsia="zh-CN"/>
        </w:rPr>
        <w:t>当</w:t>
      </w:r>
      <w:r>
        <w:rPr>
          <w:rFonts w:hint="eastAsia" w:ascii="Times New Roman" w:hAnsi="Times New Roman" w:eastAsia="仿宋_GB2312" w:cs="Times New Roman"/>
          <w:snapToGrid w:val="0"/>
          <w:color w:val="auto"/>
          <w:spacing w:val="2"/>
          <w:kern w:val="0"/>
          <w:sz w:val="32"/>
          <w:szCs w:val="32"/>
          <w:highlight w:val="none"/>
          <w:lang w:val="en-US" w:eastAsia="zh-CN"/>
        </w:rPr>
        <w:t>与</w:t>
      </w:r>
      <w:r>
        <w:rPr>
          <w:rFonts w:hint="eastAsia" w:eastAsia="仿宋_GB2312" w:cs="Times New Roman"/>
          <w:snapToGrid w:val="0"/>
          <w:color w:val="auto"/>
          <w:spacing w:val="2"/>
          <w:kern w:val="0"/>
          <w:sz w:val="32"/>
          <w:szCs w:val="32"/>
          <w:highlight w:val="none"/>
          <w:lang w:val="en-US" w:eastAsia="zh-CN"/>
        </w:rPr>
        <w:t>消费者</w:t>
      </w:r>
      <w:r>
        <w:rPr>
          <w:rFonts w:hint="eastAsia" w:ascii="Times New Roman" w:hAnsi="Times New Roman" w:eastAsia="仿宋_GB2312" w:cs="Times New Roman"/>
          <w:snapToGrid w:val="0"/>
          <w:color w:val="auto"/>
          <w:spacing w:val="2"/>
          <w:kern w:val="0"/>
          <w:sz w:val="32"/>
          <w:szCs w:val="32"/>
          <w:highlight w:val="none"/>
          <w:lang w:val="en-US" w:eastAsia="zh-CN"/>
        </w:rPr>
        <w:t>签订书面合同，明确双方权利义务、风险告知</w:t>
      </w:r>
      <w:r>
        <w:rPr>
          <w:rFonts w:hint="eastAsia" w:eastAsia="仿宋_GB2312" w:cs="Times New Roman"/>
          <w:snapToGrid w:val="0"/>
          <w:color w:val="auto"/>
          <w:spacing w:val="2"/>
          <w:kern w:val="0"/>
          <w:sz w:val="32"/>
          <w:szCs w:val="32"/>
          <w:highlight w:val="none"/>
          <w:lang w:val="en-US" w:eastAsia="zh-CN"/>
        </w:rPr>
        <w:t>和</w:t>
      </w:r>
      <w:r>
        <w:rPr>
          <w:rFonts w:hint="eastAsia" w:ascii="Times New Roman" w:hAnsi="Times New Roman" w:eastAsia="仿宋_GB2312" w:cs="Times New Roman"/>
          <w:snapToGrid w:val="0"/>
          <w:color w:val="auto"/>
          <w:spacing w:val="2"/>
          <w:kern w:val="0"/>
          <w:sz w:val="32"/>
          <w:szCs w:val="32"/>
          <w:highlight w:val="none"/>
          <w:lang w:val="en-US" w:eastAsia="zh-CN"/>
        </w:rPr>
        <w:t>争议解决方式，并妥善保管</w:t>
      </w:r>
      <w:r>
        <w:rPr>
          <w:rFonts w:hint="eastAsia" w:eastAsia="仿宋_GB2312" w:cs="Times New Roman"/>
          <w:snapToGrid w:val="0"/>
          <w:color w:val="auto"/>
          <w:spacing w:val="2"/>
          <w:kern w:val="0"/>
          <w:sz w:val="32"/>
          <w:szCs w:val="32"/>
          <w:highlight w:val="none"/>
          <w:lang w:val="en-US" w:eastAsia="zh-CN"/>
        </w:rPr>
        <w:t>消费者</w:t>
      </w:r>
      <w:r>
        <w:rPr>
          <w:rFonts w:hint="eastAsia" w:ascii="Times New Roman" w:hAnsi="Times New Roman" w:eastAsia="仿宋_GB2312" w:cs="Times New Roman"/>
          <w:snapToGrid w:val="0"/>
          <w:color w:val="auto"/>
          <w:spacing w:val="2"/>
          <w:kern w:val="0"/>
          <w:sz w:val="32"/>
          <w:szCs w:val="32"/>
          <w:highlight w:val="none"/>
          <w:lang w:val="en-US" w:eastAsia="zh-CN"/>
        </w:rPr>
        <w:t>个人信息。</w:t>
      </w:r>
    </w:p>
    <w:p w14:paraId="7CC1C3E5">
      <w:pPr>
        <w:keepNext w:val="0"/>
        <w:keepLines w:val="0"/>
        <w:pageBreakBefore w:val="0"/>
        <w:wordWrap/>
        <w:overflowPunct/>
        <w:topLinePunct w:val="0"/>
        <w:bidi w:val="0"/>
        <w:spacing w:line="578" w:lineRule="exact"/>
        <w:ind w:firstLine="651" w:firstLineChars="200"/>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十五</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经营者</w:t>
      </w:r>
      <w:r>
        <w:rPr>
          <w:rFonts w:hint="eastAsia" w:eastAsia="仿宋_GB2312" w:cs="Times New Roman"/>
          <w:snapToGrid w:val="0"/>
          <w:color w:val="auto"/>
          <w:spacing w:val="2"/>
          <w:kern w:val="0"/>
          <w:sz w:val="32"/>
          <w:szCs w:val="32"/>
          <w:highlight w:val="none"/>
          <w:lang w:val="en-US" w:eastAsia="zh-CN"/>
        </w:rPr>
        <w:t>应当</w:t>
      </w:r>
      <w:r>
        <w:rPr>
          <w:rFonts w:hint="eastAsia" w:ascii="Times New Roman" w:hAnsi="Times New Roman" w:eastAsia="仿宋_GB2312" w:cs="Times New Roman"/>
          <w:snapToGrid w:val="0"/>
          <w:color w:val="auto"/>
          <w:spacing w:val="2"/>
          <w:kern w:val="0"/>
          <w:sz w:val="32"/>
          <w:szCs w:val="32"/>
          <w:highlight w:val="none"/>
          <w:lang w:val="en-US" w:eastAsia="zh-CN"/>
        </w:rPr>
        <w:t>投保意外伤害保险和场所责任保险，</w:t>
      </w:r>
      <w:r>
        <w:rPr>
          <w:rFonts w:hint="eastAsia" w:eastAsia="仿宋_GB2312" w:cs="Times New Roman"/>
          <w:snapToGrid w:val="0"/>
          <w:color w:val="auto"/>
          <w:spacing w:val="2"/>
          <w:kern w:val="0"/>
          <w:sz w:val="32"/>
          <w:szCs w:val="32"/>
          <w:highlight w:val="none"/>
        </w:rPr>
        <w:t>并提醒旅游者投保人身意外伤害保险。</w:t>
      </w:r>
    </w:p>
    <w:p w14:paraId="6F3D5DDB">
      <w:pPr>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第十六条</w:t>
      </w:r>
      <w:r>
        <w:rPr>
          <w:rFonts w:hint="eastAsia" w:eastAsia="仿宋_GB2312" w:cs="Times New Roman"/>
          <w:snapToGrid w:val="0"/>
          <w:color w:val="auto"/>
          <w:spacing w:val="2"/>
          <w:kern w:val="0"/>
          <w:sz w:val="32"/>
          <w:szCs w:val="32"/>
          <w:highlight w:val="none"/>
          <w:lang w:val="en-US" w:eastAsia="zh-CN"/>
        </w:rPr>
        <w:t xml:space="preserve">  经营者应当严格遵守安全生产管理的法律法规以及国家标准、行业标准、确保具备相应的安全生产条件，制定并实施消费者安全保护制度和应急预案；应当对从业人员开展常态化的安全生产教育和应急救助技能培训，对其提供的设施设备及产品服务进行经常性安全检验、监测和评估，定期组织演练并做好演练台账记录。</w:t>
      </w:r>
    </w:p>
    <w:p w14:paraId="3953CDEA">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第十七条</w:t>
      </w:r>
      <w:r>
        <w:rPr>
          <w:rFonts w:hint="eastAsia" w:eastAsia="仿宋_GB2312" w:cs="Times New Roman"/>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bidi="ar-SA"/>
        </w:rPr>
        <w:t>经营者及摩托艇相关从业人员</w:t>
      </w:r>
      <w:r>
        <w:rPr>
          <w:rFonts w:hint="eastAsia" w:eastAsia="仿宋_GB2312" w:cs="Times New Roman"/>
          <w:snapToGrid w:val="0"/>
          <w:color w:val="auto"/>
          <w:spacing w:val="2"/>
          <w:kern w:val="0"/>
          <w:sz w:val="32"/>
          <w:szCs w:val="32"/>
          <w:highlight w:val="none"/>
          <w:lang w:val="en-US" w:eastAsia="zh-CN"/>
        </w:rPr>
        <w:t>不得有下列行为：</w:t>
      </w:r>
    </w:p>
    <w:p w14:paraId="4330A974">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（一）运载涉及走私物品；</w:t>
      </w:r>
    </w:p>
    <w:p w14:paraId="7C09FF32">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（二）在饮酒、吸毒、疲劳、因其他药物损害工作能力等影响安全的状态下操作摩托艇相关设施、设备；</w:t>
      </w:r>
    </w:p>
    <w:p w14:paraId="154885C4">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（三）超载、超速、超时、追逐竞驶、随意投掷物品、扰乱摩托艇旅游项目经营秩序；</w:t>
      </w:r>
    </w:p>
    <w:p w14:paraId="37E3C240">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（四）携带易燃、易爆、剧毒等危险品或法律、行政法规规定的禁运物品；</w:t>
      </w:r>
    </w:p>
    <w:p w14:paraId="52B9DCEF">
      <w:pPr>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（五）改造、污损、遮盖摩托艇唯一标识号牌；</w:t>
      </w:r>
    </w:p>
    <w:p w14:paraId="37EBC43E">
      <w:pPr>
        <w:spacing w:line="578" w:lineRule="exact"/>
        <w:rPr>
          <w:rFonts w:hint="eastAsia" w:eastAsia="仿宋_GB2312" w:cs="Times New Roman"/>
          <w:snapToGrid w:val="0"/>
          <w:color w:val="auto"/>
          <w:spacing w:val="2"/>
          <w:kern w:val="0"/>
          <w:sz w:val="32"/>
          <w:szCs w:val="32"/>
          <w:highlight w:val="none"/>
          <w:lang w:val="en-US" w:eastAsia="zh-CN" w:bidi="ar-SA"/>
        </w:rPr>
      </w:pPr>
      <w:r>
        <w:rPr>
          <w:rFonts w:hint="eastAsia" w:eastAsia="仿宋_GB2312" w:cs="Times New Roman"/>
          <w:snapToGrid w:val="0"/>
          <w:color w:val="auto"/>
          <w:spacing w:val="2"/>
          <w:kern w:val="0"/>
          <w:sz w:val="32"/>
          <w:szCs w:val="32"/>
          <w:highlight w:val="none"/>
          <w:lang w:val="en-US" w:eastAsia="zh-CN"/>
        </w:rPr>
        <w:t>（六）</w:t>
      </w:r>
      <w:r>
        <w:rPr>
          <w:rFonts w:hint="eastAsia" w:eastAsia="仿宋_GB2312" w:cs="Times New Roman"/>
          <w:snapToGrid w:val="0"/>
          <w:color w:val="auto"/>
          <w:spacing w:val="2"/>
          <w:kern w:val="0"/>
          <w:sz w:val="32"/>
          <w:szCs w:val="32"/>
          <w:highlight w:val="none"/>
          <w:lang w:val="en-US" w:eastAsia="zh-CN" w:bidi="ar-SA"/>
        </w:rPr>
        <w:t>污染或者破坏珊瑚礁分布区域的环境和生态；</w:t>
      </w:r>
    </w:p>
    <w:p w14:paraId="769F34C5">
      <w:pPr>
        <w:spacing w:line="578" w:lineRule="exact"/>
        <w:rPr>
          <w:rFonts w:hint="eastAsia" w:eastAsia="仿宋_GB2312" w:cs="Times New Roman"/>
          <w:snapToGrid w:val="0"/>
          <w:color w:val="auto"/>
          <w:spacing w:val="2"/>
          <w:kern w:val="0"/>
          <w:sz w:val="32"/>
          <w:szCs w:val="32"/>
          <w:highlight w:val="none"/>
          <w:lang w:val="en-US" w:eastAsia="zh-CN" w:bidi="ar-SA"/>
        </w:rPr>
      </w:pPr>
      <w:r>
        <w:rPr>
          <w:rFonts w:hint="eastAsia" w:eastAsia="仿宋_GB2312" w:cs="Times New Roman"/>
          <w:snapToGrid w:val="0"/>
          <w:color w:val="auto"/>
          <w:spacing w:val="2"/>
          <w:kern w:val="0"/>
          <w:sz w:val="32"/>
          <w:szCs w:val="32"/>
          <w:highlight w:val="none"/>
          <w:lang w:val="en-US" w:eastAsia="zh-CN" w:bidi="ar-SA"/>
        </w:rPr>
        <w:t>（七）在“断桥”“蓝洞”“三亚角”等自然保护区的核心区、缓冲区开展水上活动；</w:t>
      </w:r>
    </w:p>
    <w:p w14:paraId="7717A53B">
      <w:pPr>
        <w:spacing w:line="578" w:lineRule="exact"/>
        <w:rPr>
          <w:rFonts w:hint="eastAsia"/>
          <w:color w:val="auto"/>
          <w:lang w:val="en-US" w:eastAsia="zh-CN"/>
        </w:rPr>
      </w:pPr>
      <w:r>
        <w:rPr>
          <w:rFonts w:hint="eastAsia" w:eastAsia="仿宋_GB2312" w:cs="Times New Roman"/>
          <w:snapToGrid w:val="0"/>
          <w:color w:val="auto"/>
          <w:spacing w:val="2"/>
          <w:kern w:val="0"/>
          <w:sz w:val="32"/>
          <w:szCs w:val="32"/>
          <w:highlight w:val="none"/>
          <w:lang w:val="en-US" w:eastAsia="zh-CN"/>
        </w:rPr>
        <w:t>（八）法律法规禁止的其他行为。</w:t>
      </w:r>
    </w:p>
    <w:p w14:paraId="7753F168">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十八</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b/>
          <w:bCs/>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rPr>
        <w:t>摩托艇必</w:t>
      </w:r>
      <w:r>
        <w:rPr>
          <w:rFonts w:hint="eastAsia" w:ascii="Times New Roman" w:hAnsi="Times New Roman" w:eastAsia="仿宋_GB2312" w:cs="Times New Roman"/>
          <w:snapToGrid w:val="0"/>
          <w:color w:val="auto"/>
          <w:spacing w:val="2"/>
          <w:kern w:val="0"/>
          <w:sz w:val="32"/>
          <w:szCs w:val="32"/>
          <w:highlight w:val="none"/>
          <w:lang w:val="en-US" w:eastAsia="zh-CN"/>
        </w:rPr>
        <w:t>须</w:t>
      </w:r>
      <w:r>
        <w:rPr>
          <w:rFonts w:hint="eastAsia" w:eastAsia="仿宋_GB2312" w:cs="Times New Roman"/>
          <w:snapToGrid w:val="0"/>
          <w:color w:val="auto"/>
          <w:spacing w:val="2"/>
          <w:kern w:val="0"/>
          <w:sz w:val="32"/>
          <w:szCs w:val="32"/>
          <w:highlight w:val="none"/>
          <w:lang w:val="en-US" w:eastAsia="zh-CN"/>
        </w:rPr>
        <w:t>具备</w:t>
      </w:r>
      <w:r>
        <w:rPr>
          <w:rFonts w:hint="eastAsia" w:ascii="Times New Roman" w:hAnsi="Times New Roman" w:eastAsia="仿宋_GB2312" w:cs="Times New Roman"/>
          <w:snapToGrid w:val="0"/>
          <w:color w:val="auto"/>
          <w:spacing w:val="2"/>
          <w:kern w:val="0"/>
          <w:sz w:val="32"/>
          <w:szCs w:val="32"/>
          <w:highlight w:val="none"/>
          <w:lang w:val="en-US" w:eastAsia="zh-CN"/>
        </w:rPr>
        <w:t>有效适航证书，配备救生衣（每人</w:t>
      </w:r>
      <w:r>
        <w:rPr>
          <w:rFonts w:hint="eastAsia" w:eastAsia="仿宋_GB2312" w:cs="Times New Roman"/>
          <w:snapToGrid w:val="0"/>
          <w:color w:val="auto"/>
          <w:spacing w:val="2"/>
          <w:kern w:val="0"/>
          <w:sz w:val="32"/>
          <w:szCs w:val="32"/>
          <w:highlight w:val="none"/>
          <w:lang w:val="en-US" w:eastAsia="zh-CN"/>
        </w:rPr>
        <w:t>一</w:t>
      </w:r>
      <w:r>
        <w:rPr>
          <w:rFonts w:hint="eastAsia" w:ascii="Times New Roman" w:hAnsi="Times New Roman" w:eastAsia="仿宋_GB2312" w:cs="Times New Roman"/>
          <w:snapToGrid w:val="0"/>
          <w:color w:val="auto"/>
          <w:spacing w:val="2"/>
          <w:kern w:val="0"/>
          <w:sz w:val="32"/>
          <w:szCs w:val="32"/>
          <w:highlight w:val="none"/>
          <w:lang w:val="en-US" w:eastAsia="zh-CN"/>
        </w:rPr>
        <w:t>件）、</w:t>
      </w:r>
      <w:r>
        <w:rPr>
          <w:rFonts w:hint="eastAsia" w:eastAsia="仿宋_GB2312" w:cs="Times New Roman"/>
          <w:snapToGrid w:val="0"/>
          <w:color w:val="auto"/>
          <w:spacing w:val="2"/>
          <w:kern w:val="0"/>
          <w:sz w:val="32"/>
          <w:szCs w:val="32"/>
          <w:highlight w:val="none"/>
          <w:lang w:val="en-US" w:eastAsia="zh-CN"/>
        </w:rPr>
        <w:t>监控装置以及定位装置</w:t>
      </w:r>
      <w:r>
        <w:rPr>
          <w:rFonts w:hint="eastAsia" w:ascii="Times New Roman" w:hAnsi="Times New Roman" w:eastAsia="仿宋_GB2312" w:cs="Times New Roman"/>
          <w:snapToGrid w:val="0"/>
          <w:color w:val="auto"/>
          <w:spacing w:val="2"/>
          <w:kern w:val="0"/>
          <w:sz w:val="32"/>
          <w:szCs w:val="32"/>
          <w:highlight w:val="none"/>
          <w:lang w:val="en-US" w:eastAsia="zh-CN"/>
        </w:rPr>
        <w:t>等安全设备，</w:t>
      </w:r>
      <w:r>
        <w:rPr>
          <w:rFonts w:hint="eastAsia" w:eastAsia="仿宋_GB2312" w:cs="Times New Roman"/>
          <w:snapToGrid w:val="0"/>
          <w:color w:val="auto"/>
          <w:spacing w:val="2"/>
          <w:kern w:val="0"/>
          <w:sz w:val="32"/>
          <w:szCs w:val="32"/>
          <w:highlight w:val="none"/>
          <w:lang w:val="en-US" w:eastAsia="zh-CN"/>
        </w:rPr>
        <w:t>定期</w:t>
      </w:r>
      <w:r>
        <w:rPr>
          <w:rFonts w:hint="eastAsia" w:ascii="Times New Roman" w:hAnsi="Times New Roman" w:eastAsia="仿宋_GB2312" w:cs="Times New Roman"/>
          <w:snapToGrid w:val="0"/>
          <w:color w:val="auto"/>
          <w:spacing w:val="2"/>
          <w:kern w:val="0"/>
          <w:sz w:val="32"/>
          <w:szCs w:val="32"/>
          <w:highlight w:val="none"/>
          <w:lang w:val="en-US" w:eastAsia="zh-CN"/>
        </w:rPr>
        <w:t>委托</w:t>
      </w:r>
      <w:r>
        <w:rPr>
          <w:rFonts w:hint="eastAsia" w:eastAsia="仿宋_GB2312" w:cs="Times New Roman"/>
          <w:snapToGrid w:val="0"/>
          <w:color w:val="auto"/>
          <w:spacing w:val="2"/>
          <w:kern w:val="0"/>
          <w:sz w:val="32"/>
          <w:szCs w:val="32"/>
          <w:highlight w:val="none"/>
          <w:lang w:val="en-US" w:eastAsia="zh-CN"/>
        </w:rPr>
        <w:t>摩托艇检验机构</w:t>
      </w:r>
      <w:r>
        <w:rPr>
          <w:rFonts w:hint="eastAsia" w:ascii="Times New Roman" w:hAnsi="Times New Roman" w:eastAsia="仿宋_GB2312" w:cs="Times New Roman"/>
          <w:snapToGrid w:val="0"/>
          <w:color w:val="auto"/>
          <w:spacing w:val="2"/>
          <w:kern w:val="0"/>
          <w:sz w:val="32"/>
          <w:szCs w:val="32"/>
          <w:highlight w:val="none"/>
          <w:lang w:val="en-US" w:eastAsia="zh-CN"/>
        </w:rPr>
        <w:t>进行适航检验。</w:t>
      </w:r>
    </w:p>
    <w:p w14:paraId="2C88E3E0">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十九</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b/>
          <w:bCs/>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rPr>
        <w:t>摩托艇旅游项目开展</w:t>
      </w:r>
      <w:r>
        <w:rPr>
          <w:rFonts w:hint="eastAsia" w:ascii="Times New Roman" w:hAnsi="Times New Roman" w:eastAsia="仿宋_GB2312" w:cs="Times New Roman"/>
          <w:snapToGrid w:val="0"/>
          <w:color w:val="auto"/>
          <w:spacing w:val="2"/>
          <w:kern w:val="0"/>
          <w:sz w:val="32"/>
          <w:szCs w:val="32"/>
          <w:highlight w:val="none"/>
          <w:lang w:val="en-US" w:eastAsia="zh-CN"/>
        </w:rPr>
        <w:t>应当遵守下列安全规定：</w:t>
      </w:r>
    </w:p>
    <w:p w14:paraId="33B54473">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（一）在规定的活动范围内航行；</w:t>
      </w:r>
    </w:p>
    <w:p w14:paraId="30351B6C">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（二）在规定的码头、浮动设施或者下水点停靠和上下</w:t>
      </w:r>
      <w:r>
        <w:rPr>
          <w:rFonts w:hint="eastAsia" w:eastAsia="仿宋_GB2312" w:cs="Times New Roman"/>
          <w:snapToGrid w:val="0"/>
          <w:color w:val="auto"/>
          <w:spacing w:val="2"/>
          <w:kern w:val="0"/>
          <w:sz w:val="32"/>
          <w:szCs w:val="32"/>
          <w:highlight w:val="none"/>
          <w:lang w:val="en-US" w:eastAsia="zh-CN"/>
        </w:rPr>
        <w:t>消费者</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48170820">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（三）在核定的载客数量范围内载客；</w:t>
      </w:r>
    </w:p>
    <w:p w14:paraId="0E85169A">
      <w:pPr>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（四）向消费者明示安全须知、设置安全标志和警示；</w:t>
      </w:r>
    </w:p>
    <w:p w14:paraId="1A0250DF">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五</w:t>
      </w:r>
      <w:r>
        <w:rPr>
          <w:rFonts w:hint="eastAsia" w:ascii="Times New Roman" w:hAnsi="Times New Roman" w:eastAsia="仿宋_GB2312" w:cs="Times New Roman"/>
          <w:snapToGrid w:val="0"/>
          <w:color w:val="auto"/>
          <w:spacing w:val="2"/>
          <w:kern w:val="0"/>
          <w:sz w:val="32"/>
          <w:szCs w:val="32"/>
          <w:highlight w:val="none"/>
          <w:lang w:val="en-US" w:eastAsia="zh-CN"/>
        </w:rPr>
        <w:t>）采用安全航速，遵守避碰规则；</w:t>
      </w:r>
    </w:p>
    <w:p w14:paraId="2811312E">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六</w:t>
      </w:r>
      <w:r>
        <w:rPr>
          <w:rFonts w:hint="eastAsia" w:ascii="Times New Roman" w:hAnsi="Times New Roman" w:eastAsia="仿宋_GB2312" w:cs="Times New Roman"/>
          <w:snapToGrid w:val="0"/>
          <w:color w:val="auto"/>
          <w:spacing w:val="2"/>
          <w:kern w:val="0"/>
          <w:sz w:val="32"/>
          <w:szCs w:val="32"/>
          <w:highlight w:val="none"/>
          <w:lang w:val="en-US" w:eastAsia="zh-CN"/>
        </w:rPr>
        <w:t>）禁止夜航</w:t>
      </w:r>
      <w:r>
        <w:rPr>
          <w:rFonts w:hint="eastAsia" w:eastAsia="仿宋_GB2312" w:cs="Times New Roman"/>
          <w:snapToGrid w:val="0"/>
          <w:color w:val="auto"/>
          <w:spacing w:val="2"/>
          <w:kern w:val="0"/>
          <w:sz w:val="32"/>
          <w:szCs w:val="32"/>
          <w:highlight w:val="none"/>
          <w:lang w:val="en-US" w:eastAsia="zh-CN"/>
        </w:rPr>
        <w:t>；</w:t>
      </w:r>
    </w:p>
    <w:p w14:paraId="6B5DE019">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七</w:t>
      </w:r>
      <w:r>
        <w:rPr>
          <w:rFonts w:hint="eastAsia" w:ascii="Times New Roman" w:hAnsi="Times New Roman" w:eastAsia="仿宋_GB2312" w:cs="Times New Roman"/>
          <w:snapToGrid w:val="0"/>
          <w:color w:val="auto"/>
          <w:spacing w:val="2"/>
          <w:kern w:val="0"/>
          <w:sz w:val="32"/>
          <w:szCs w:val="32"/>
          <w:highlight w:val="none"/>
          <w:lang w:val="en-US" w:eastAsia="zh-CN"/>
        </w:rPr>
        <w:t>）法律法规规定的其他</w:t>
      </w:r>
      <w:r>
        <w:rPr>
          <w:rFonts w:hint="eastAsia" w:eastAsia="仿宋_GB2312" w:cs="Times New Roman"/>
          <w:snapToGrid w:val="0"/>
          <w:color w:val="auto"/>
          <w:spacing w:val="2"/>
          <w:kern w:val="0"/>
          <w:sz w:val="32"/>
          <w:szCs w:val="32"/>
          <w:highlight w:val="none"/>
          <w:lang w:val="en-US" w:eastAsia="zh-CN"/>
        </w:rPr>
        <w:t>要求</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43F1A903">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二十</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rPr>
        <w:t>摩托艇进出港口，经营者</w:t>
      </w:r>
      <w:r>
        <w:rPr>
          <w:rFonts w:hint="eastAsia" w:ascii="Times New Roman" w:hAnsi="Times New Roman" w:eastAsia="仿宋_GB2312" w:cs="Times New Roman"/>
          <w:snapToGrid w:val="0"/>
          <w:color w:val="auto"/>
          <w:spacing w:val="2"/>
          <w:kern w:val="0"/>
          <w:sz w:val="32"/>
          <w:szCs w:val="32"/>
          <w:highlight w:val="none"/>
          <w:lang w:val="en-US" w:eastAsia="zh-CN"/>
        </w:rPr>
        <w:t>需提前</w:t>
      </w:r>
      <w:r>
        <w:rPr>
          <w:rFonts w:hint="eastAsia" w:eastAsia="仿宋_GB2312" w:cs="Times New Roman"/>
          <w:snapToGrid w:val="0"/>
          <w:color w:val="auto"/>
          <w:spacing w:val="2"/>
          <w:kern w:val="0"/>
          <w:sz w:val="32"/>
          <w:szCs w:val="32"/>
          <w:highlight w:val="none"/>
          <w:lang w:val="en-US" w:eastAsia="zh-CN"/>
        </w:rPr>
        <w:t>两个</w:t>
      </w:r>
      <w:r>
        <w:rPr>
          <w:rFonts w:hint="eastAsia" w:ascii="Times New Roman" w:hAnsi="Times New Roman" w:eastAsia="仿宋_GB2312" w:cs="Times New Roman"/>
          <w:snapToGrid w:val="0"/>
          <w:color w:val="auto"/>
          <w:spacing w:val="2"/>
          <w:kern w:val="0"/>
          <w:sz w:val="32"/>
          <w:szCs w:val="32"/>
          <w:highlight w:val="none"/>
          <w:lang w:val="en-US" w:eastAsia="zh-CN"/>
        </w:rPr>
        <w:t>小时通过管理平台</w:t>
      </w:r>
      <w:r>
        <w:rPr>
          <w:rFonts w:hint="eastAsia" w:eastAsia="仿宋_GB2312" w:cs="Times New Roman"/>
          <w:snapToGrid w:val="0"/>
          <w:color w:val="auto"/>
          <w:spacing w:val="2"/>
          <w:kern w:val="0"/>
          <w:sz w:val="32"/>
          <w:szCs w:val="32"/>
          <w:highlight w:val="none"/>
          <w:lang w:val="en-US" w:eastAsia="zh-CN"/>
        </w:rPr>
        <w:t>向海事管理机构</w:t>
      </w:r>
      <w:r>
        <w:rPr>
          <w:rFonts w:hint="eastAsia" w:ascii="Times New Roman" w:hAnsi="Times New Roman" w:eastAsia="仿宋_GB2312" w:cs="Times New Roman"/>
          <w:snapToGrid w:val="0"/>
          <w:color w:val="auto"/>
          <w:spacing w:val="2"/>
          <w:kern w:val="0"/>
          <w:sz w:val="32"/>
          <w:szCs w:val="32"/>
          <w:highlight w:val="none"/>
          <w:lang w:val="en-US" w:eastAsia="zh-CN"/>
        </w:rPr>
        <w:t>提交电子航行计划，包括</w:t>
      </w:r>
      <w:r>
        <w:rPr>
          <w:rFonts w:hint="eastAsia" w:eastAsia="仿宋_GB2312" w:cs="Times New Roman"/>
          <w:snapToGrid w:val="0"/>
          <w:color w:val="auto"/>
          <w:spacing w:val="2"/>
          <w:kern w:val="0"/>
          <w:sz w:val="32"/>
          <w:szCs w:val="32"/>
          <w:highlight w:val="none"/>
          <w:lang w:val="en-US" w:eastAsia="zh-CN"/>
        </w:rPr>
        <w:t>以下信息</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5F7E3504">
      <w:pPr>
        <w:keepNext w:val="0"/>
        <w:keepLines w:val="0"/>
        <w:pageBreakBefore w:val="0"/>
        <w:wordWrap/>
        <w:overflowPunct/>
        <w:topLinePunct w:val="0"/>
        <w:bidi w:val="0"/>
        <w:spacing w:line="578" w:lineRule="exact"/>
        <w:rPr>
          <w:rFonts w:hint="default"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（一）</w:t>
      </w:r>
      <w:r>
        <w:rPr>
          <w:rFonts w:hint="eastAsia" w:eastAsia="仿宋_GB2312" w:cs="Times New Roman"/>
          <w:snapToGrid w:val="0"/>
          <w:color w:val="auto"/>
          <w:spacing w:val="2"/>
          <w:kern w:val="0"/>
          <w:sz w:val="32"/>
          <w:szCs w:val="32"/>
          <w:highlight w:val="none"/>
          <w:lang w:val="en-US" w:eastAsia="zh-CN"/>
        </w:rPr>
        <w:t>摩托艇适航证书；</w:t>
      </w:r>
    </w:p>
    <w:p w14:paraId="29225DE4">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二</w:t>
      </w: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经营者、驾驶员和消费者</w:t>
      </w:r>
      <w:r>
        <w:rPr>
          <w:rFonts w:hint="eastAsia" w:ascii="Times New Roman" w:hAnsi="Times New Roman" w:eastAsia="仿宋_GB2312" w:cs="Times New Roman"/>
          <w:snapToGrid w:val="0"/>
          <w:color w:val="auto"/>
          <w:spacing w:val="2"/>
          <w:kern w:val="0"/>
          <w:sz w:val="32"/>
          <w:szCs w:val="32"/>
          <w:highlight w:val="none"/>
          <w:lang w:val="en-US" w:eastAsia="zh-CN"/>
        </w:rPr>
        <w:t>信息；</w:t>
      </w:r>
    </w:p>
    <w:p w14:paraId="4444BF00">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三</w:t>
      </w:r>
      <w:r>
        <w:rPr>
          <w:rFonts w:hint="eastAsia" w:ascii="Times New Roman" w:hAnsi="Times New Roman" w:eastAsia="仿宋_GB2312" w:cs="Times New Roman"/>
          <w:snapToGrid w:val="0"/>
          <w:color w:val="auto"/>
          <w:spacing w:val="2"/>
          <w:kern w:val="0"/>
          <w:sz w:val="32"/>
          <w:szCs w:val="32"/>
          <w:highlight w:val="none"/>
          <w:lang w:val="en-US" w:eastAsia="zh-CN"/>
        </w:rPr>
        <w:t>）进出港时间；</w:t>
      </w:r>
    </w:p>
    <w:p w14:paraId="00FB90E3">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四</w:t>
      </w:r>
      <w:r>
        <w:rPr>
          <w:rFonts w:hint="eastAsia" w:ascii="Times New Roman" w:hAnsi="Times New Roman" w:eastAsia="仿宋_GB2312" w:cs="Times New Roman"/>
          <w:snapToGrid w:val="0"/>
          <w:color w:val="auto"/>
          <w:spacing w:val="2"/>
          <w:kern w:val="0"/>
          <w:sz w:val="32"/>
          <w:szCs w:val="32"/>
          <w:highlight w:val="none"/>
          <w:lang w:val="en-US" w:eastAsia="zh-CN"/>
        </w:rPr>
        <w:t>）航行路线</w:t>
      </w:r>
      <w:r>
        <w:rPr>
          <w:rFonts w:hint="eastAsia" w:eastAsia="仿宋_GB2312" w:cs="Times New Roman"/>
          <w:snapToGrid w:val="0"/>
          <w:color w:val="auto"/>
          <w:spacing w:val="2"/>
          <w:kern w:val="0"/>
          <w:sz w:val="32"/>
          <w:szCs w:val="32"/>
          <w:highlight w:val="none"/>
          <w:lang w:val="en-US" w:eastAsia="zh-CN"/>
        </w:rPr>
        <w:t>；</w:t>
      </w:r>
    </w:p>
    <w:p w14:paraId="345BE625">
      <w:pPr>
        <w:spacing w:line="578" w:lineRule="exact"/>
        <w:rPr>
          <w:rFonts w:hint="default"/>
          <w:color w:val="auto"/>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五</w:t>
      </w:r>
      <w:r>
        <w:rPr>
          <w:rFonts w:hint="eastAsia" w:ascii="Times New Roman" w:hAnsi="Times New Roman" w:eastAsia="仿宋_GB2312" w:cs="Times New Roman"/>
          <w:snapToGrid w:val="0"/>
          <w:color w:val="auto"/>
          <w:spacing w:val="2"/>
          <w:kern w:val="0"/>
          <w:sz w:val="32"/>
          <w:szCs w:val="32"/>
          <w:highlight w:val="none"/>
          <w:lang w:val="en-US" w:eastAsia="zh-CN"/>
        </w:rPr>
        <w:t>）法律法规规定的其他</w:t>
      </w:r>
      <w:r>
        <w:rPr>
          <w:rFonts w:hint="eastAsia" w:eastAsia="仿宋_GB2312" w:cs="Times New Roman"/>
          <w:snapToGrid w:val="0"/>
          <w:color w:val="auto"/>
          <w:spacing w:val="2"/>
          <w:kern w:val="0"/>
          <w:sz w:val="32"/>
          <w:szCs w:val="32"/>
          <w:highlight w:val="none"/>
          <w:lang w:val="en-US" w:eastAsia="zh-CN"/>
        </w:rPr>
        <w:t>信息</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719FDFE3">
      <w:pPr>
        <w:pStyle w:val="2"/>
        <w:rPr>
          <w:rFonts w:hint="eastAsia" w:eastAsia="仿宋_GB2312" w:cs="Times New Roman"/>
          <w:b w:val="0"/>
          <w:bCs w:val="0"/>
          <w:snapToGrid w:val="0"/>
          <w:color w:val="auto"/>
          <w:spacing w:val="2"/>
          <w:kern w:val="0"/>
          <w:sz w:val="32"/>
          <w:szCs w:val="32"/>
          <w:highlight w:val="none"/>
          <w:lang w:val="en-US" w:eastAsia="zh-CN" w:bidi="ar-SA"/>
        </w:rPr>
      </w:pPr>
      <w:r>
        <w:rPr>
          <w:rFonts w:hint="eastAsia" w:ascii="Times New Roman" w:hAnsi="Times New Roman" w:eastAsia="仿宋_GB2312" w:cs="Times New Roman"/>
          <w:b/>
          <w:bCs/>
          <w:snapToGrid w:val="0"/>
          <w:color w:val="auto"/>
          <w:spacing w:val="2"/>
          <w:kern w:val="0"/>
          <w:sz w:val="32"/>
          <w:szCs w:val="32"/>
          <w:highlight w:val="none"/>
          <w:lang w:val="en-US" w:eastAsia="zh-CN" w:bidi="ar-SA"/>
        </w:rPr>
        <w:t>第</w:t>
      </w:r>
      <w:r>
        <w:rPr>
          <w:rFonts w:hint="eastAsia" w:eastAsia="仿宋_GB2312" w:cs="Times New Roman"/>
          <w:b/>
          <w:bCs/>
          <w:snapToGrid w:val="0"/>
          <w:color w:val="auto"/>
          <w:spacing w:val="2"/>
          <w:kern w:val="0"/>
          <w:sz w:val="32"/>
          <w:szCs w:val="32"/>
          <w:highlight w:val="none"/>
          <w:lang w:val="en-US" w:eastAsia="zh-CN" w:bidi="ar-SA"/>
        </w:rPr>
        <w:t>二十一</w:t>
      </w:r>
      <w:r>
        <w:rPr>
          <w:rFonts w:hint="eastAsia" w:ascii="Times New Roman" w:hAnsi="Times New Roman" w:eastAsia="仿宋_GB2312" w:cs="Times New Roman"/>
          <w:b/>
          <w:bCs/>
          <w:snapToGrid w:val="0"/>
          <w:color w:val="auto"/>
          <w:spacing w:val="2"/>
          <w:kern w:val="0"/>
          <w:sz w:val="32"/>
          <w:szCs w:val="32"/>
          <w:highlight w:val="none"/>
          <w:lang w:val="en-US" w:eastAsia="zh-CN" w:bidi="ar-SA"/>
        </w:rPr>
        <w:t xml:space="preserve">条 </w:t>
      </w:r>
      <w:r>
        <w:rPr>
          <w:rFonts w:hint="eastAsia" w:eastAsia="仿宋_GB2312" w:cs="Times New Roman"/>
          <w:b w:val="0"/>
          <w:bCs w:val="0"/>
          <w:snapToGrid w:val="0"/>
          <w:color w:val="auto"/>
          <w:spacing w:val="2"/>
          <w:kern w:val="0"/>
          <w:sz w:val="32"/>
          <w:szCs w:val="32"/>
          <w:highlight w:val="none"/>
          <w:lang w:val="en-US" w:eastAsia="zh-CN" w:bidi="ar-SA"/>
        </w:rPr>
        <w:t>“零关税”进口摩托艇仅限享惠主体在海南省内从事水上运动经营使用，不得光船租赁。</w:t>
      </w:r>
    </w:p>
    <w:p w14:paraId="4F860FCD">
      <w:pPr>
        <w:keepNext w:val="0"/>
        <w:keepLines w:val="0"/>
        <w:pageBreakBefore w:val="0"/>
        <w:wordWrap/>
        <w:overflowPunct/>
        <w:topLinePunct w:val="0"/>
        <w:bidi w:val="0"/>
        <w:spacing w:line="240" w:lineRule="auto"/>
        <w:rPr>
          <w:rFonts w:hint="eastAsia" w:ascii="Times New Roman" w:hAnsi="Times New Roman" w:eastAsia="仿宋_GB2312" w:cs="Times New Roman"/>
          <w:b w:val="0"/>
          <w:bCs w:val="0"/>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bidi="ar-SA"/>
        </w:rPr>
        <w:t>第二十二条</w:t>
      </w:r>
      <w:r>
        <w:rPr>
          <w:rFonts w:hint="eastAsia" w:eastAsia="仿宋_GB2312" w:cs="Times New Roman"/>
          <w:b w:val="0"/>
          <w:bCs w:val="0"/>
          <w:snapToGrid w:val="0"/>
          <w:color w:val="auto"/>
          <w:spacing w:val="2"/>
          <w:kern w:val="0"/>
          <w:sz w:val="32"/>
          <w:szCs w:val="32"/>
          <w:highlight w:val="none"/>
          <w:lang w:val="en-US" w:eastAsia="zh-CN" w:bidi="ar-SA"/>
        </w:rPr>
        <w:t xml:space="preserve"> </w:t>
      </w:r>
      <w:r>
        <w:rPr>
          <w:rFonts w:hint="eastAsia" w:eastAsia="仿宋_GB2312" w:cs="Times New Roman"/>
          <w:b w:val="0"/>
          <w:bCs w:val="0"/>
          <w:snapToGrid w:val="0"/>
          <w:color w:val="auto"/>
          <w:spacing w:val="2"/>
          <w:kern w:val="0"/>
          <w:sz w:val="32"/>
          <w:szCs w:val="32"/>
          <w:highlight w:val="none"/>
          <w:lang w:val="en-US" w:eastAsia="zh-CN"/>
        </w:rPr>
        <w:t>摩托艇</w:t>
      </w:r>
      <w:r>
        <w:rPr>
          <w:rFonts w:hint="eastAsia" w:ascii="Times New Roman" w:hAnsi="Times New Roman" w:eastAsia="仿宋_GB2312" w:cs="Times New Roman"/>
          <w:b w:val="0"/>
          <w:bCs w:val="0"/>
          <w:snapToGrid w:val="0"/>
          <w:color w:val="auto"/>
          <w:spacing w:val="2"/>
          <w:kern w:val="0"/>
          <w:sz w:val="32"/>
          <w:szCs w:val="32"/>
          <w:highlight w:val="none"/>
          <w:lang w:val="en-US" w:eastAsia="zh-CN"/>
        </w:rPr>
        <w:t>所有权的取得、转让和消灭，应当向船舶登记机关登记。</w:t>
      </w:r>
    </w:p>
    <w:p w14:paraId="430124F4">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第二十三条</w:t>
      </w:r>
      <w:r>
        <w:rPr>
          <w:rFonts w:hint="eastAsia" w:eastAsia="仿宋_GB2312" w:cs="Times New Roman"/>
          <w:snapToGrid w:val="0"/>
          <w:color w:val="auto"/>
          <w:spacing w:val="2"/>
          <w:kern w:val="0"/>
          <w:sz w:val="32"/>
          <w:szCs w:val="32"/>
          <w:highlight w:val="none"/>
          <w:lang w:val="en-US" w:eastAsia="zh-CN"/>
        </w:rPr>
        <w:t> 发生遇险等安全事故时，经营者应当立即采取必要的救援、预警和处置措施，并向三亚海上搜救分中心报告；不得迟报、瞒报、谎报或拖延不报，不得故意损坏、破坏事故现场及毁灭有关证据，并对消费者作出妥善安排。</w:t>
      </w:r>
    </w:p>
    <w:p w14:paraId="5990FD1D">
      <w:pPr>
        <w:pStyle w:val="2"/>
        <w:rPr>
          <w:rFonts w:hint="default"/>
          <w:color w:val="auto"/>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第二十四条 </w:t>
      </w:r>
      <w:r>
        <w:rPr>
          <w:rFonts w:hint="eastAsia" w:eastAsia="仿宋_GB2312" w:cs="Times New Roman"/>
          <w:snapToGrid w:val="0"/>
          <w:color w:val="auto"/>
          <w:spacing w:val="2"/>
          <w:kern w:val="0"/>
          <w:sz w:val="32"/>
          <w:szCs w:val="32"/>
          <w:highlight w:val="none"/>
          <w:lang w:val="en-US" w:eastAsia="zh-CN"/>
        </w:rPr>
        <w:t>发生海上交通事故，经营者应当立即向海事管理机构报告，并接受调查；不得迟报、瞒报、谎报或拖延不报，不得故意损坏、破坏事故现场及毁灭有关证据，并对消费者作出妥善安排。</w:t>
      </w:r>
    </w:p>
    <w:p w14:paraId="485D79D5">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第二十五条</w:t>
      </w:r>
      <w:r>
        <w:rPr>
          <w:rFonts w:hint="eastAsia" w:eastAsia="仿宋_GB2312" w:cs="Times New Roman"/>
          <w:snapToGrid w:val="0"/>
          <w:color w:val="auto"/>
          <w:spacing w:val="2"/>
          <w:kern w:val="0"/>
          <w:sz w:val="32"/>
          <w:szCs w:val="32"/>
          <w:highlight w:val="none"/>
          <w:lang w:val="en-US" w:eastAsia="zh-CN"/>
        </w:rPr>
        <w:t> 经营者应当密切关注天气预报和气象灾害预警信息，遵守海事管理机构发布的禁限航要求。</w:t>
      </w:r>
    </w:p>
    <w:p w14:paraId="0BBA74E1">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气象部门发布台风预警信号时，立即停止运营并返回。</w:t>
      </w:r>
    </w:p>
    <w:p w14:paraId="67589A7E">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p>
    <w:p w14:paraId="2955A228">
      <w:pPr>
        <w:pStyle w:val="2"/>
        <w:rPr>
          <w:rFonts w:hint="eastAsia"/>
          <w:color w:val="auto"/>
          <w:lang w:val="en-US" w:eastAsia="zh-CN"/>
        </w:rPr>
      </w:pPr>
    </w:p>
    <w:p w14:paraId="4390F90D">
      <w:pPr>
        <w:rPr>
          <w:rFonts w:hint="eastAsia"/>
          <w:color w:val="auto"/>
          <w:lang w:eastAsia="zh-CN"/>
        </w:rPr>
      </w:pPr>
    </w:p>
    <w:p w14:paraId="4ED93830">
      <w:pPr>
        <w:pStyle w:val="2"/>
        <w:rPr>
          <w:rFonts w:hint="eastAsia"/>
          <w:color w:val="auto"/>
          <w:lang w:eastAsia="zh-CN"/>
        </w:rPr>
      </w:pPr>
    </w:p>
    <w:p w14:paraId="5BC6E6CE">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Times New Roman" w:hAnsi="Times New Roman" w:eastAsia="黑体" w:cs="Times New Roman"/>
          <w:b w:val="0"/>
          <w:bCs w:val="0"/>
          <w:snapToGrid w:val="0"/>
          <w:color w:val="auto"/>
          <w:spacing w:val="57"/>
          <w:kern w:val="0"/>
          <w:sz w:val="32"/>
          <w:szCs w:val="32"/>
          <w:highlight w:val="none"/>
          <w:lang w:val="en-US" w:eastAsia="zh-CN"/>
        </w:rPr>
      </w:pPr>
      <w:r>
        <w:rPr>
          <w:rFonts w:hint="eastAsia" w:ascii="Times New Roman" w:hAnsi="Times New Roman" w:eastAsia="黑体" w:cs="Times New Roman"/>
          <w:b w:val="0"/>
          <w:bCs w:val="0"/>
          <w:snapToGrid w:val="0"/>
          <w:color w:val="auto"/>
          <w:spacing w:val="57"/>
          <w:kern w:val="0"/>
          <w:sz w:val="32"/>
          <w:szCs w:val="32"/>
          <w:highlight w:val="none"/>
          <w:lang w:val="en-US" w:eastAsia="zh-CN"/>
        </w:rPr>
        <w:t>第</w:t>
      </w:r>
      <w:r>
        <w:rPr>
          <w:rFonts w:hint="eastAsia" w:eastAsia="黑体" w:cs="Times New Roman"/>
          <w:b w:val="0"/>
          <w:bCs w:val="0"/>
          <w:snapToGrid w:val="0"/>
          <w:color w:val="auto"/>
          <w:spacing w:val="57"/>
          <w:kern w:val="0"/>
          <w:sz w:val="32"/>
          <w:szCs w:val="32"/>
          <w:highlight w:val="none"/>
          <w:lang w:val="en-US" w:eastAsia="zh-CN"/>
        </w:rPr>
        <w:t>三</w:t>
      </w:r>
      <w:r>
        <w:rPr>
          <w:rFonts w:hint="eastAsia" w:ascii="Times New Roman" w:hAnsi="Times New Roman" w:eastAsia="黑体" w:cs="Times New Roman"/>
          <w:b w:val="0"/>
          <w:bCs w:val="0"/>
          <w:snapToGrid w:val="0"/>
          <w:color w:val="auto"/>
          <w:spacing w:val="57"/>
          <w:kern w:val="0"/>
          <w:sz w:val="32"/>
          <w:szCs w:val="32"/>
          <w:highlight w:val="none"/>
          <w:lang w:val="en-US" w:eastAsia="zh-CN"/>
        </w:rPr>
        <w:t>章 监督管理</w:t>
      </w:r>
    </w:p>
    <w:p w14:paraId="4E2D08A0">
      <w:pPr>
        <w:keepNext w:val="0"/>
        <w:keepLines w:val="0"/>
        <w:pageBreakBefore w:val="0"/>
        <w:wordWrap/>
        <w:overflowPunct/>
        <w:topLinePunct w:val="0"/>
        <w:bidi w:val="0"/>
        <w:spacing w:line="578" w:lineRule="exact"/>
        <w:ind w:firstLine="648"/>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第二十六条</w:t>
      </w:r>
      <w:r>
        <w:rPr>
          <w:rFonts w:hint="eastAsia" w:eastAsia="仿宋_GB2312" w:cs="Times New Roman"/>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rPr>
        <w:t>区人民政府</w:t>
      </w:r>
      <w:r>
        <w:rPr>
          <w:rFonts w:hint="eastAsia" w:eastAsia="仿宋_GB2312" w:cs="Times New Roman"/>
          <w:snapToGrid w:val="0"/>
          <w:color w:val="auto"/>
          <w:spacing w:val="2"/>
          <w:kern w:val="0"/>
          <w:sz w:val="32"/>
          <w:szCs w:val="32"/>
          <w:highlight w:val="none"/>
          <w:lang w:val="en-US" w:eastAsia="zh-CN"/>
        </w:rPr>
        <w:t>定期</w:t>
      </w:r>
      <w:r>
        <w:rPr>
          <w:rFonts w:hint="eastAsia" w:eastAsia="仿宋_GB2312" w:cs="Times New Roman"/>
          <w:snapToGrid w:val="0"/>
          <w:color w:val="auto"/>
          <w:spacing w:val="2"/>
          <w:kern w:val="0"/>
          <w:sz w:val="32"/>
          <w:szCs w:val="32"/>
          <w:highlight w:val="none"/>
        </w:rPr>
        <w:t>组织体育、旅游、交通运输、海事、市场监督、综合执法等部门，对经营者的登记情况、设备安全、应急预案、培训记录等开展联合检查，重点核查</w:t>
      </w:r>
      <w:r>
        <w:rPr>
          <w:rFonts w:hint="eastAsia" w:eastAsia="仿宋_GB2312" w:cs="Times New Roman"/>
          <w:snapToGrid w:val="0"/>
          <w:color w:val="auto"/>
          <w:spacing w:val="2"/>
          <w:kern w:val="0"/>
          <w:sz w:val="32"/>
          <w:szCs w:val="32"/>
          <w:highlight w:val="none"/>
          <w:lang w:val="en-US" w:eastAsia="zh-CN"/>
        </w:rPr>
        <w:t>摩托艇</w:t>
      </w:r>
      <w:r>
        <w:rPr>
          <w:rFonts w:hint="eastAsia" w:eastAsia="仿宋_GB2312" w:cs="Times New Roman"/>
          <w:snapToGrid w:val="0"/>
          <w:color w:val="auto"/>
          <w:spacing w:val="2"/>
          <w:kern w:val="0"/>
          <w:sz w:val="32"/>
          <w:szCs w:val="32"/>
          <w:highlight w:val="none"/>
        </w:rPr>
        <w:t>适航状态、</w:t>
      </w:r>
      <w:r>
        <w:rPr>
          <w:rFonts w:hint="eastAsia" w:eastAsia="仿宋_GB2312" w:cs="Times New Roman"/>
          <w:snapToGrid w:val="0"/>
          <w:color w:val="auto"/>
          <w:spacing w:val="2"/>
          <w:kern w:val="0"/>
          <w:sz w:val="32"/>
          <w:szCs w:val="32"/>
          <w:highlight w:val="none"/>
          <w:lang w:val="en-US" w:eastAsia="zh-CN"/>
        </w:rPr>
        <w:t>从业人员</w:t>
      </w:r>
      <w:r>
        <w:rPr>
          <w:rFonts w:hint="eastAsia" w:eastAsia="仿宋_GB2312" w:cs="Times New Roman"/>
          <w:snapToGrid w:val="0"/>
          <w:color w:val="auto"/>
          <w:spacing w:val="2"/>
          <w:kern w:val="0"/>
          <w:sz w:val="32"/>
          <w:szCs w:val="32"/>
          <w:highlight w:val="none"/>
        </w:rPr>
        <w:t>资质、保险落实</w:t>
      </w:r>
      <w:r>
        <w:rPr>
          <w:rFonts w:hint="eastAsia" w:eastAsia="仿宋_GB2312" w:cs="Times New Roman"/>
          <w:snapToGrid w:val="0"/>
          <w:color w:val="auto"/>
          <w:spacing w:val="2"/>
          <w:kern w:val="0"/>
          <w:sz w:val="32"/>
          <w:szCs w:val="32"/>
          <w:highlight w:val="none"/>
          <w:lang w:val="en-US" w:eastAsia="zh-CN"/>
        </w:rPr>
        <w:t>等</w:t>
      </w:r>
      <w:r>
        <w:rPr>
          <w:rFonts w:hint="eastAsia" w:eastAsia="仿宋_GB2312" w:cs="Times New Roman"/>
          <w:snapToGrid w:val="0"/>
          <w:color w:val="auto"/>
          <w:spacing w:val="2"/>
          <w:kern w:val="0"/>
          <w:sz w:val="32"/>
          <w:szCs w:val="32"/>
          <w:highlight w:val="none"/>
        </w:rPr>
        <w:t>情况。</w:t>
      </w:r>
    </w:p>
    <w:p w14:paraId="3F985F3C">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第二十七条 </w:t>
      </w:r>
      <w:r>
        <w:rPr>
          <w:rFonts w:hint="eastAsia" w:eastAsia="仿宋_GB2312" w:cs="Times New Roman"/>
          <w:snapToGrid w:val="0"/>
          <w:color w:val="auto"/>
          <w:spacing w:val="2"/>
          <w:kern w:val="0"/>
          <w:sz w:val="32"/>
          <w:szCs w:val="32"/>
          <w:highlight w:val="none"/>
          <w:lang w:val="en-US" w:eastAsia="zh-CN"/>
        </w:rPr>
        <w:t>海事管理机构根据海域的自然状况、海上交通状况以及海上交通安全管理的需要，划定、调整并及时公布交通管制区、禁航区、安全作业区等海上交通功能区域。</w:t>
      </w:r>
    </w:p>
    <w:p w14:paraId="699BEE35">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第二十八条</w:t>
      </w:r>
      <w:r>
        <w:rPr>
          <w:rFonts w:hint="eastAsia" w:eastAsia="仿宋_GB2312" w:cs="Times New Roman"/>
          <w:snapToGrid w:val="0"/>
          <w:color w:val="auto"/>
          <w:spacing w:val="2"/>
          <w:kern w:val="0"/>
          <w:sz w:val="32"/>
          <w:szCs w:val="32"/>
          <w:highlight w:val="none"/>
          <w:lang w:val="en-US" w:eastAsia="zh-CN"/>
        </w:rPr>
        <w:t xml:space="preserve"> 交通运输部门会同自然资源和规划等部门，根据海上交通资源规划、</w:t>
      </w:r>
      <w:r>
        <w:rPr>
          <w:rFonts w:hint="eastAsia" w:eastAsia="仿宋_GB2312" w:cs="Times New Roman"/>
          <w:snapToGrid w:val="0"/>
          <w:color w:val="auto"/>
          <w:spacing w:val="2"/>
          <w:kern w:val="0"/>
          <w:sz w:val="32"/>
          <w:szCs w:val="32"/>
          <w:highlight w:val="none"/>
        </w:rPr>
        <w:t>全市港口总体规划和港区、作业区控制性详细规划</w:t>
      </w:r>
      <w:r>
        <w:rPr>
          <w:rFonts w:hint="eastAsia" w:eastAsia="仿宋_GB2312" w:cs="Times New Roman"/>
          <w:snapToGrid w:val="0"/>
          <w:color w:val="auto"/>
          <w:spacing w:val="2"/>
          <w:kern w:val="0"/>
          <w:sz w:val="32"/>
          <w:szCs w:val="32"/>
          <w:highlight w:val="none"/>
          <w:lang w:val="en-US" w:eastAsia="zh-CN"/>
        </w:rPr>
        <w:t>，科学划定摩托艇临时停靠点或专用码头，明确坐标范围并向社会公布。</w:t>
      </w:r>
    </w:p>
    <w:p w14:paraId="11F7F8DD">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第二十九条</w:t>
      </w:r>
      <w:r>
        <w:rPr>
          <w:rFonts w:hint="eastAsia" w:eastAsia="仿宋_GB2312" w:cs="Times New Roman"/>
          <w:snapToGrid w:val="0"/>
          <w:color w:val="auto"/>
          <w:spacing w:val="2"/>
          <w:kern w:val="0"/>
          <w:sz w:val="32"/>
          <w:szCs w:val="32"/>
          <w:highlight w:val="none"/>
          <w:lang w:val="en-US" w:eastAsia="zh-CN"/>
        </w:rPr>
        <w:t xml:space="preserve"> 体育旅游部门负责摩托艇行业发展统筹规划、宣传推广和服务质量监管。</w:t>
      </w:r>
    </w:p>
    <w:p w14:paraId="120DBE02">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旅游部门负责</w:t>
      </w:r>
      <w:r>
        <w:rPr>
          <w:rFonts w:hint="eastAsia" w:ascii="Times New Roman" w:hAnsi="Times New Roman" w:eastAsia="仿宋_GB2312" w:cs="Times New Roman"/>
          <w:snapToGrid w:val="0"/>
          <w:color w:val="auto"/>
          <w:spacing w:val="2"/>
          <w:kern w:val="0"/>
          <w:sz w:val="32"/>
          <w:szCs w:val="32"/>
          <w:highlight w:val="none"/>
          <w:lang w:val="en-US" w:eastAsia="zh-CN"/>
        </w:rPr>
        <w:t>统筹三亚市智能监管服务平台</w:t>
      </w:r>
      <w:r>
        <w:rPr>
          <w:rFonts w:hint="eastAsia" w:eastAsia="仿宋_GB2312" w:cs="Times New Roman"/>
          <w:snapToGrid w:val="0"/>
          <w:color w:val="auto"/>
          <w:spacing w:val="2"/>
          <w:kern w:val="0"/>
          <w:sz w:val="32"/>
          <w:szCs w:val="32"/>
          <w:highlight w:val="none"/>
          <w:lang w:val="en-US" w:eastAsia="zh-CN"/>
        </w:rPr>
        <w:t>建设；</w:t>
      </w:r>
      <w:r>
        <w:rPr>
          <w:rFonts w:hint="eastAsia" w:ascii="Times New Roman" w:hAnsi="Times New Roman" w:eastAsia="仿宋_GB2312" w:cs="Times New Roman"/>
          <w:snapToGrid w:val="0"/>
          <w:color w:val="auto"/>
          <w:spacing w:val="2"/>
          <w:kern w:val="0"/>
          <w:sz w:val="32"/>
          <w:szCs w:val="32"/>
          <w:highlight w:val="none"/>
          <w:lang w:val="en-US" w:eastAsia="zh-CN"/>
        </w:rPr>
        <w:t>建立经营者</w:t>
      </w:r>
      <w:r>
        <w:rPr>
          <w:rFonts w:hint="eastAsia" w:eastAsia="仿宋_GB2312" w:cs="Times New Roman"/>
          <w:snapToGrid w:val="0"/>
          <w:color w:val="auto"/>
          <w:spacing w:val="2"/>
          <w:kern w:val="0"/>
          <w:sz w:val="32"/>
          <w:szCs w:val="32"/>
          <w:highlight w:val="none"/>
          <w:lang w:val="en-US" w:eastAsia="zh-CN"/>
        </w:rPr>
        <w:t>和</w:t>
      </w:r>
      <w:r>
        <w:rPr>
          <w:rFonts w:hint="eastAsia" w:ascii="Times New Roman" w:hAnsi="Times New Roman" w:eastAsia="仿宋_GB2312" w:cs="Times New Roman"/>
          <w:snapToGrid w:val="0"/>
          <w:color w:val="auto"/>
          <w:spacing w:val="2"/>
          <w:kern w:val="0"/>
          <w:sz w:val="32"/>
          <w:szCs w:val="32"/>
          <w:highlight w:val="none"/>
          <w:lang w:val="en-US" w:eastAsia="zh-CN"/>
        </w:rPr>
        <w:t>从业人员信用档案，记录违规行为、投诉处理、行政处罚等信息，定期公示信用评级</w:t>
      </w:r>
      <w:r>
        <w:rPr>
          <w:rFonts w:hint="eastAsia" w:eastAsia="仿宋_GB2312" w:cs="Times New Roman"/>
          <w:snapToGrid w:val="0"/>
          <w:color w:val="auto"/>
          <w:spacing w:val="2"/>
          <w:kern w:val="0"/>
          <w:sz w:val="32"/>
          <w:szCs w:val="32"/>
          <w:highlight w:val="none"/>
          <w:lang w:val="en-US" w:eastAsia="zh-CN"/>
        </w:rPr>
        <w:t>。</w:t>
      </w:r>
    </w:p>
    <w:p w14:paraId="44687071">
      <w:pPr>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第三十条 </w:t>
      </w:r>
      <w:r>
        <w:rPr>
          <w:rFonts w:hint="eastAsia" w:eastAsia="仿宋_GB2312" w:cs="Times New Roman"/>
          <w:snapToGrid w:val="0"/>
          <w:color w:val="auto"/>
          <w:spacing w:val="2"/>
          <w:kern w:val="0"/>
          <w:sz w:val="32"/>
          <w:szCs w:val="32"/>
          <w:highlight w:val="none"/>
          <w:lang w:val="en-US" w:eastAsia="zh-CN"/>
        </w:rPr>
        <w:t>各区政府负责组织摩托艇</w:t>
      </w:r>
      <w:r>
        <w:rPr>
          <w:rFonts w:hint="eastAsia" w:ascii="Times New Roman" w:hAnsi="Times New Roman" w:eastAsia="仿宋_GB2312" w:cs="Times New Roman"/>
          <w:snapToGrid w:val="0"/>
          <w:color w:val="auto"/>
          <w:spacing w:val="2"/>
          <w:kern w:val="0"/>
          <w:sz w:val="32"/>
          <w:szCs w:val="32"/>
          <w:highlight w:val="none"/>
          <w:lang w:val="en-US" w:eastAsia="zh-CN"/>
        </w:rPr>
        <w:t>从业人员业务培训和安全技能培训，提高服务技能</w:t>
      </w:r>
      <w:r>
        <w:rPr>
          <w:rFonts w:hint="eastAsia" w:eastAsia="仿宋_GB2312" w:cs="Times New Roman"/>
          <w:snapToGrid w:val="0"/>
          <w:color w:val="auto"/>
          <w:spacing w:val="2"/>
          <w:kern w:val="0"/>
          <w:sz w:val="32"/>
          <w:szCs w:val="32"/>
          <w:highlight w:val="none"/>
          <w:lang w:val="en-US" w:eastAsia="zh-CN"/>
        </w:rPr>
        <w:t>、</w:t>
      </w:r>
      <w:r>
        <w:rPr>
          <w:rFonts w:hint="eastAsia" w:ascii="Times New Roman" w:hAnsi="Times New Roman" w:eastAsia="仿宋_GB2312" w:cs="Times New Roman"/>
          <w:snapToGrid w:val="0"/>
          <w:color w:val="auto"/>
          <w:spacing w:val="2"/>
          <w:kern w:val="0"/>
          <w:sz w:val="32"/>
          <w:szCs w:val="32"/>
          <w:highlight w:val="none"/>
          <w:lang w:val="en-US" w:eastAsia="zh-CN"/>
        </w:rPr>
        <w:t>安全防范意识和应急处置能力。</w:t>
      </w:r>
    </w:p>
    <w:p w14:paraId="61658FC3">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第三十一条 </w:t>
      </w:r>
      <w:r>
        <w:rPr>
          <w:rFonts w:hint="eastAsia" w:eastAsia="仿宋_GB2312" w:cs="Times New Roman"/>
          <w:snapToGrid w:val="0"/>
          <w:color w:val="auto"/>
          <w:spacing w:val="2"/>
          <w:kern w:val="0"/>
          <w:sz w:val="32"/>
          <w:szCs w:val="32"/>
          <w:highlight w:val="none"/>
          <w:lang w:val="en-US" w:eastAsia="zh-CN"/>
        </w:rPr>
        <w:t>各区政府负责经营者信息登记、行业指导和监督检查，</w:t>
      </w:r>
      <w:r>
        <w:rPr>
          <w:rFonts w:hint="default" w:eastAsia="仿宋_GB2312" w:cs="Times New Roman"/>
          <w:snapToGrid w:val="0"/>
          <w:color w:val="auto"/>
          <w:spacing w:val="2"/>
          <w:kern w:val="0"/>
          <w:sz w:val="32"/>
          <w:szCs w:val="32"/>
          <w:highlight w:val="none"/>
          <w:lang w:val="en-US" w:eastAsia="en-US"/>
        </w:rPr>
        <w:t>推进政务信息系统互联和</w:t>
      </w:r>
      <w:r>
        <w:rPr>
          <w:rFonts w:hint="eastAsia" w:eastAsia="仿宋_GB2312" w:cs="Times New Roman"/>
          <w:snapToGrid w:val="0"/>
          <w:color w:val="auto"/>
          <w:spacing w:val="2"/>
          <w:kern w:val="0"/>
          <w:sz w:val="32"/>
          <w:szCs w:val="32"/>
          <w:highlight w:val="none"/>
          <w:lang w:val="en-US" w:eastAsia="zh-CN"/>
        </w:rPr>
        <w:t>监管</w:t>
      </w:r>
      <w:r>
        <w:rPr>
          <w:rFonts w:hint="default" w:eastAsia="仿宋_GB2312" w:cs="Times New Roman"/>
          <w:snapToGrid w:val="0"/>
          <w:color w:val="auto"/>
          <w:spacing w:val="2"/>
          <w:kern w:val="0"/>
          <w:sz w:val="32"/>
          <w:szCs w:val="32"/>
          <w:highlight w:val="none"/>
          <w:lang w:val="en-US" w:eastAsia="en-US"/>
        </w:rPr>
        <w:t>数据共享，及时公布已进行信息</w:t>
      </w:r>
      <w:r>
        <w:rPr>
          <w:rFonts w:hint="eastAsia" w:eastAsia="仿宋_GB2312" w:cs="Times New Roman"/>
          <w:snapToGrid w:val="0"/>
          <w:color w:val="auto"/>
          <w:spacing w:val="2"/>
          <w:kern w:val="0"/>
          <w:sz w:val="32"/>
          <w:szCs w:val="32"/>
          <w:highlight w:val="none"/>
          <w:lang w:val="en-US" w:eastAsia="zh-CN"/>
        </w:rPr>
        <w:t>登记的经营者企业</w:t>
      </w:r>
      <w:r>
        <w:rPr>
          <w:rFonts w:hint="default" w:eastAsia="仿宋_GB2312" w:cs="Times New Roman"/>
          <w:snapToGrid w:val="0"/>
          <w:color w:val="auto"/>
          <w:spacing w:val="2"/>
          <w:kern w:val="0"/>
          <w:sz w:val="32"/>
          <w:szCs w:val="32"/>
          <w:highlight w:val="none"/>
          <w:lang w:val="en-US" w:eastAsia="en-US"/>
        </w:rPr>
        <w:t>名录，引导</w:t>
      </w:r>
      <w:r>
        <w:rPr>
          <w:rFonts w:hint="eastAsia" w:eastAsia="仿宋_GB2312" w:cs="Times New Roman"/>
          <w:snapToGrid w:val="0"/>
          <w:color w:val="auto"/>
          <w:spacing w:val="2"/>
          <w:kern w:val="0"/>
          <w:sz w:val="32"/>
          <w:szCs w:val="32"/>
          <w:highlight w:val="none"/>
          <w:lang w:val="en-US" w:eastAsia="zh-CN"/>
        </w:rPr>
        <w:t>消费者</w:t>
      </w:r>
      <w:r>
        <w:rPr>
          <w:rFonts w:hint="default" w:eastAsia="仿宋_GB2312" w:cs="Times New Roman"/>
          <w:snapToGrid w:val="0"/>
          <w:color w:val="auto"/>
          <w:spacing w:val="2"/>
          <w:kern w:val="0"/>
          <w:sz w:val="32"/>
          <w:szCs w:val="32"/>
          <w:highlight w:val="none"/>
          <w:lang w:val="en-US" w:eastAsia="en-US"/>
        </w:rPr>
        <w:t>选择合法合规的经营者，并定期向上级部门报告信息</w:t>
      </w:r>
      <w:r>
        <w:rPr>
          <w:rFonts w:hint="eastAsia" w:eastAsia="仿宋_GB2312" w:cs="Times New Roman"/>
          <w:snapToGrid w:val="0"/>
          <w:color w:val="auto"/>
          <w:spacing w:val="2"/>
          <w:kern w:val="0"/>
          <w:sz w:val="32"/>
          <w:szCs w:val="32"/>
          <w:highlight w:val="none"/>
          <w:lang w:val="en-US" w:eastAsia="zh-CN"/>
        </w:rPr>
        <w:t>登记和</w:t>
      </w:r>
      <w:r>
        <w:rPr>
          <w:rFonts w:hint="default" w:eastAsia="仿宋_GB2312" w:cs="Times New Roman"/>
          <w:snapToGrid w:val="0"/>
          <w:color w:val="auto"/>
          <w:spacing w:val="2"/>
          <w:kern w:val="0"/>
          <w:sz w:val="32"/>
          <w:szCs w:val="32"/>
          <w:highlight w:val="none"/>
          <w:lang w:val="en-US" w:eastAsia="en-US"/>
        </w:rPr>
        <w:t>日常监管情况。</w:t>
      </w:r>
    </w:p>
    <w:p w14:paraId="108B9EF8">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第三十二条</w:t>
      </w:r>
      <w:r>
        <w:rPr>
          <w:rFonts w:hint="eastAsia" w:eastAsia="仿宋_GB2312" w:cs="Times New Roman"/>
          <w:snapToGrid w:val="0"/>
          <w:color w:val="auto"/>
          <w:spacing w:val="2"/>
          <w:kern w:val="0"/>
          <w:sz w:val="32"/>
          <w:szCs w:val="32"/>
          <w:highlight w:val="none"/>
          <w:lang w:val="en-US" w:eastAsia="zh-CN"/>
        </w:rPr>
        <w:t xml:space="preserve"> 海事管理机构负责摩托艇的跨区域航行、海上交通通航管理、船舶监管、适航检验、航行安全、航线审批管理以及船舶污染防治，依法查处违反海上交通安全法规的行为。</w:t>
      </w:r>
    </w:p>
    <w:p w14:paraId="779899DA">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第三十三条 </w:t>
      </w:r>
      <w:r>
        <w:rPr>
          <w:rFonts w:hint="eastAsia" w:eastAsia="仿宋_GB2312" w:cs="Times New Roman"/>
          <w:snapToGrid w:val="0"/>
          <w:color w:val="auto"/>
          <w:spacing w:val="2"/>
          <w:kern w:val="0"/>
          <w:sz w:val="32"/>
          <w:szCs w:val="32"/>
          <w:highlight w:val="none"/>
          <w:lang w:val="en-US" w:eastAsia="zh-CN"/>
        </w:rPr>
        <w:t>交通运输部门负责摩托艇交通安全工作，科学划定摩托艇临时停靠点或专用码头，制定进出港调度规则，监管污染防治设施运维，组织安全评估演练，实施吞吐量动态管控。</w:t>
      </w:r>
    </w:p>
    <w:p w14:paraId="456F0F37">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第三十四条</w:t>
      </w:r>
      <w:r>
        <w:rPr>
          <w:rFonts w:hint="eastAsia" w:eastAsia="仿宋_GB2312" w:cs="Times New Roman"/>
          <w:snapToGrid w:val="0"/>
          <w:color w:val="auto"/>
          <w:spacing w:val="2"/>
          <w:kern w:val="0"/>
          <w:sz w:val="32"/>
          <w:szCs w:val="32"/>
          <w:highlight w:val="none"/>
          <w:lang w:val="en-US" w:eastAsia="zh-CN"/>
        </w:rPr>
        <w:t xml:space="preserve"> 市场监督管理部门负责摩托艇市场主体登记，对价格行为、不正当竞争、广告行为以及产品质量安全进行监督管理。</w:t>
      </w:r>
    </w:p>
    <w:p w14:paraId="47CD0F64">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第三十五条 </w:t>
      </w:r>
      <w:r>
        <w:rPr>
          <w:rFonts w:hint="eastAsia" w:eastAsia="仿宋_GB2312" w:cs="Times New Roman"/>
          <w:snapToGrid w:val="0"/>
          <w:color w:val="auto"/>
          <w:spacing w:val="2"/>
          <w:kern w:val="0"/>
          <w:sz w:val="32"/>
          <w:szCs w:val="32"/>
          <w:highlight w:val="none"/>
          <w:lang w:val="en-US" w:eastAsia="zh-CN"/>
        </w:rPr>
        <w:t>综合行政执法部门按照相关法律法规对摩托艇旅游项目经营活动有关的违法违规行为的查处，以及行使与之相关的行政处罚权及与行政处罚相关的行政检查、行政强制权。</w:t>
      </w:r>
    </w:p>
    <w:p w14:paraId="5A4E45EF">
      <w:pPr>
        <w:keepNext w:val="0"/>
        <w:keepLines w:val="0"/>
        <w:pageBreakBefore w:val="0"/>
        <w:wordWrap/>
        <w:overflowPunct/>
        <w:topLinePunct w:val="0"/>
        <w:bidi w:val="0"/>
        <w:spacing w:line="578" w:lineRule="exact"/>
        <w:rPr>
          <w:rFonts w:hint="eastAsia" w:eastAsia="仿宋_GB2312" w:cs="Times New Roman"/>
          <w:b w:val="0"/>
          <w:bCs w:val="0"/>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三十六</w:t>
      </w:r>
      <w:r>
        <w:rPr>
          <w:rFonts w:hint="eastAsia" w:ascii="Times New Roman" w:hAnsi="Times New Roman" w:eastAsia="仿宋_GB2312" w:cs="Times New Roman"/>
          <w:b/>
          <w:bCs/>
          <w:snapToGrid w:val="0"/>
          <w:color w:val="auto"/>
          <w:spacing w:val="2"/>
          <w:kern w:val="0"/>
          <w:sz w:val="32"/>
          <w:szCs w:val="32"/>
          <w:highlight w:val="none"/>
          <w:lang w:val="en-US" w:eastAsia="zh-CN"/>
        </w:rPr>
        <w:t xml:space="preserve">条 </w:t>
      </w:r>
      <w:r>
        <w:rPr>
          <w:rFonts w:hint="eastAsia" w:eastAsia="仿宋_GB2312" w:cs="Times New Roman"/>
          <w:b w:val="0"/>
          <w:bCs w:val="0"/>
          <w:snapToGrid w:val="0"/>
          <w:color w:val="auto"/>
          <w:spacing w:val="2"/>
          <w:kern w:val="0"/>
          <w:sz w:val="32"/>
          <w:szCs w:val="32"/>
          <w:highlight w:val="none"/>
          <w:lang w:val="en-US" w:eastAsia="zh-CN"/>
        </w:rPr>
        <w:t>三亚海上搜救分中心负责海上搜救的组织、协调和指挥工作。</w:t>
      </w:r>
    </w:p>
    <w:p w14:paraId="1BCB2F90">
      <w:pPr>
        <w:rPr>
          <w:rFonts w:hint="default" w:eastAsia="仿宋_GB2312" w:cs="Times New Roman"/>
          <w:b w:val="0"/>
          <w:bCs w:val="0"/>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第三十七条 </w:t>
      </w:r>
      <w:r>
        <w:rPr>
          <w:rFonts w:hint="eastAsia" w:eastAsia="仿宋_GB2312" w:cs="Times New Roman"/>
          <w:b w:val="0"/>
          <w:bCs w:val="0"/>
          <w:snapToGrid w:val="0"/>
          <w:color w:val="auto"/>
          <w:spacing w:val="2"/>
          <w:kern w:val="0"/>
          <w:sz w:val="32"/>
          <w:szCs w:val="32"/>
          <w:highlight w:val="none"/>
          <w:lang w:val="en-US" w:eastAsia="zh-CN"/>
        </w:rPr>
        <w:t>公安部门（海岸警察支队）维护水上治安秩序，预防和打击违法犯罪活动；处置水上突发事件；协同海事、旅游、体育等部门开展联合执法。</w:t>
      </w:r>
    </w:p>
    <w:p w14:paraId="047C0099">
      <w:pPr>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第三十八条 </w:t>
      </w:r>
      <w:r>
        <w:rPr>
          <w:rFonts w:hint="eastAsia" w:eastAsia="仿宋_GB2312" w:cs="Times New Roman"/>
          <w:b w:val="0"/>
          <w:bCs w:val="0"/>
          <w:snapToGrid w:val="0"/>
          <w:color w:val="auto"/>
          <w:spacing w:val="2"/>
          <w:kern w:val="0"/>
          <w:sz w:val="32"/>
          <w:szCs w:val="32"/>
          <w:highlight w:val="none"/>
          <w:lang w:val="en-US" w:eastAsia="zh-CN"/>
        </w:rPr>
        <w:t>商务局协同</w:t>
      </w:r>
      <w:r>
        <w:rPr>
          <w:rFonts w:hint="eastAsia" w:ascii="Times New Roman" w:hAnsi="Times New Roman" w:eastAsia="仿宋_GB2312" w:cs="Times New Roman"/>
          <w:snapToGrid w:val="0"/>
          <w:color w:val="auto"/>
          <w:spacing w:val="2"/>
          <w:kern w:val="0"/>
          <w:sz w:val="32"/>
          <w:szCs w:val="32"/>
          <w:highlight w:val="none"/>
          <w:lang w:val="en-US" w:eastAsia="zh-CN"/>
        </w:rPr>
        <w:t>应急管理局</w:t>
      </w:r>
      <w:r>
        <w:rPr>
          <w:rFonts w:hint="eastAsia" w:eastAsia="仿宋_GB2312" w:cs="Times New Roman"/>
          <w:snapToGrid w:val="0"/>
          <w:color w:val="auto"/>
          <w:spacing w:val="2"/>
          <w:kern w:val="0"/>
          <w:sz w:val="32"/>
          <w:szCs w:val="32"/>
          <w:highlight w:val="none"/>
          <w:lang w:val="en-US" w:eastAsia="zh-CN"/>
        </w:rPr>
        <w:t>负责</w:t>
      </w:r>
      <w:r>
        <w:rPr>
          <w:rFonts w:hint="eastAsia" w:ascii="Times New Roman" w:hAnsi="Times New Roman" w:eastAsia="仿宋_GB2312" w:cs="Times New Roman"/>
          <w:snapToGrid w:val="0"/>
          <w:color w:val="auto"/>
          <w:spacing w:val="2"/>
          <w:kern w:val="0"/>
          <w:sz w:val="32"/>
          <w:szCs w:val="32"/>
          <w:highlight w:val="none"/>
          <w:lang w:val="en-US" w:eastAsia="zh-CN"/>
        </w:rPr>
        <w:t>推进</w:t>
      </w:r>
      <w:r>
        <w:rPr>
          <w:rFonts w:hint="eastAsia" w:eastAsia="仿宋_GB2312" w:cs="Times New Roman"/>
          <w:snapToGrid w:val="0"/>
          <w:color w:val="auto"/>
          <w:spacing w:val="2"/>
          <w:kern w:val="0"/>
          <w:sz w:val="32"/>
          <w:szCs w:val="32"/>
          <w:highlight w:val="none"/>
          <w:lang w:val="en-US" w:eastAsia="zh-CN"/>
        </w:rPr>
        <w:t>摩托艇</w:t>
      </w:r>
      <w:r>
        <w:rPr>
          <w:rFonts w:hint="eastAsia" w:ascii="Times New Roman" w:hAnsi="Times New Roman" w:eastAsia="仿宋_GB2312" w:cs="Times New Roman"/>
          <w:snapToGrid w:val="0"/>
          <w:color w:val="auto"/>
          <w:spacing w:val="2"/>
          <w:kern w:val="0"/>
          <w:sz w:val="32"/>
          <w:szCs w:val="32"/>
          <w:highlight w:val="none"/>
          <w:lang w:val="en-US" w:eastAsia="zh-CN"/>
        </w:rPr>
        <w:t>专用加油站点建设，加强油料安全管理，规范</w:t>
      </w:r>
      <w:r>
        <w:rPr>
          <w:rFonts w:hint="eastAsia" w:eastAsia="仿宋_GB2312" w:cs="Times New Roman"/>
          <w:snapToGrid w:val="0"/>
          <w:color w:val="auto"/>
          <w:spacing w:val="2"/>
          <w:kern w:val="0"/>
          <w:sz w:val="32"/>
          <w:szCs w:val="32"/>
          <w:highlight w:val="none"/>
          <w:lang w:val="en-US" w:eastAsia="zh-CN"/>
        </w:rPr>
        <w:t>摩托艇</w:t>
      </w:r>
      <w:r>
        <w:rPr>
          <w:rFonts w:hint="eastAsia" w:ascii="Times New Roman" w:hAnsi="Times New Roman" w:eastAsia="仿宋_GB2312" w:cs="Times New Roman"/>
          <w:snapToGrid w:val="0"/>
          <w:color w:val="auto"/>
          <w:spacing w:val="2"/>
          <w:kern w:val="0"/>
          <w:sz w:val="32"/>
          <w:szCs w:val="32"/>
          <w:highlight w:val="none"/>
          <w:lang w:val="en-US" w:eastAsia="zh-CN"/>
        </w:rPr>
        <w:t>等运动船艇用油加油安全管理。</w:t>
      </w:r>
    </w:p>
    <w:p w14:paraId="3394690C">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第三十九条 </w:t>
      </w:r>
      <w:r>
        <w:rPr>
          <w:rFonts w:hint="eastAsia" w:eastAsia="仿宋_GB2312" w:cs="Times New Roman"/>
          <w:snapToGrid w:val="0"/>
          <w:color w:val="auto"/>
          <w:spacing w:val="2"/>
          <w:kern w:val="0"/>
          <w:sz w:val="32"/>
          <w:szCs w:val="32"/>
          <w:highlight w:val="none"/>
          <w:lang w:val="en-US" w:eastAsia="zh-CN"/>
        </w:rPr>
        <w:t>发展改革、自然资源和规划以及生态环境等部门，按照各自职责协同做好摩托艇的监督管理工作。</w:t>
      </w:r>
    </w:p>
    <w:p w14:paraId="0C44E685">
      <w:pPr>
        <w:pStyle w:val="2"/>
        <w:rPr>
          <w:rFonts w:hint="eastAsia"/>
          <w:color w:val="auto"/>
          <w:lang w:val="en-US" w:eastAsia="zh-CN"/>
        </w:rPr>
      </w:pPr>
    </w:p>
    <w:p w14:paraId="1D3298D7">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Times New Roman" w:hAnsi="Times New Roman" w:eastAsia="黑体" w:cs="Times New Roman"/>
          <w:b w:val="0"/>
          <w:bCs w:val="0"/>
          <w:snapToGrid w:val="0"/>
          <w:color w:val="auto"/>
          <w:spacing w:val="57"/>
          <w:kern w:val="0"/>
          <w:sz w:val="32"/>
          <w:szCs w:val="32"/>
          <w:highlight w:val="none"/>
          <w:lang w:val="en-US" w:eastAsia="zh-CN"/>
        </w:rPr>
      </w:pPr>
      <w:r>
        <w:rPr>
          <w:rFonts w:hint="eastAsia" w:ascii="Times New Roman" w:hAnsi="Times New Roman" w:eastAsia="黑体" w:cs="Times New Roman"/>
          <w:b w:val="0"/>
          <w:bCs w:val="0"/>
          <w:snapToGrid w:val="0"/>
          <w:color w:val="auto"/>
          <w:spacing w:val="57"/>
          <w:kern w:val="0"/>
          <w:sz w:val="32"/>
          <w:szCs w:val="32"/>
          <w:highlight w:val="none"/>
          <w:lang w:val="en-US" w:eastAsia="zh-CN"/>
        </w:rPr>
        <w:t>第</w:t>
      </w:r>
      <w:r>
        <w:rPr>
          <w:rFonts w:hint="eastAsia" w:eastAsia="黑体" w:cs="Times New Roman"/>
          <w:b w:val="0"/>
          <w:bCs w:val="0"/>
          <w:snapToGrid w:val="0"/>
          <w:color w:val="auto"/>
          <w:spacing w:val="57"/>
          <w:kern w:val="0"/>
          <w:sz w:val="32"/>
          <w:szCs w:val="32"/>
          <w:highlight w:val="none"/>
          <w:lang w:val="en-US" w:eastAsia="zh-CN"/>
        </w:rPr>
        <w:t>四</w:t>
      </w:r>
      <w:r>
        <w:rPr>
          <w:rFonts w:hint="eastAsia" w:ascii="Times New Roman" w:hAnsi="Times New Roman" w:eastAsia="黑体" w:cs="Times New Roman"/>
          <w:b w:val="0"/>
          <w:bCs w:val="0"/>
          <w:snapToGrid w:val="0"/>
          <w:color w:val="auto"/>
          <w:spacing w:val="57"/>
          <w:kern w:val="0"/>
          <w:sz w:val="32"/>
          <w:szCs w:val="32"/>
          <w:highlight w:val="none"/>
          <w:lang w:val="en-US" w:eastAsia="zh-CN"/>
        </w:rPr>
        <w:t>章 法律责任</w:t>
      </w:r>
    </w:p>
    <w:p w14:paraId="44FFDD1C">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四十</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经营者未经设立登记从事经营活动的，由市场监督管理部门责令改正，没收违法所得；拒不改正的，处一万元以上十万元以下的罚款；情节严重的，依法责令关闭停业，并处十万元以上五十万元以下的罚款。</w:t>
      </w:r>
    </w:p>
    <w:p w14:paraId="292A8B2F">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第四十一条</w:t>
      </w:r>
      <w:r>
        <w:rPr>
          <w:rFonts w:hint="eastAsia" w:eastAsia="仿宋_GB2312" w:cs="Times New Roman"/>
          <w:snapToGrid w:val="0"/>
          <w:color w:val="auto"/>
          <w:spacing w:val="2"/>
          <w:kern w:val="0"/>
          <w:sz w:val="32"/>
          <w:szCs w:val="32"/>
          <w:highlight w:val="none"/>
          <w:lang w:val="en-US" w:eastAsia="zh-CN"/>
        </w:rPr>
        <w:t xml:space="preserve"> 经营者提交虚假材料或者采取其他欺诈手段隐瞒重要事实取得市场主体登记的，由市场监督管理部门责令改正，没收违法所得，并处五万元以上二十万元以下的罚款；情节严重的，处二十万元以上一百万元以下的罚款，吊销营业执照。</w:t>
      </w:r>
    </w:p>
    <w:p w14:paraId="6CBF4840">
      <w:pPr>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第四十二条 </w:t>
      </w:r>
      <w:r>
        <w:rPr>
          <w:rFonts w:hint="eastAsia" w:eastAsia="仿宋_GB2312" w:cs="Times New Roman"/>
          <w:snapToGrid w:val="0"/>
          <w:color w:val="auto"/>
          <w:spacing w:val="2"/>
          <w:kern w:val="0"/>
          <w:sz w:val="32"/>
          <w:szCs w:val="32"/>
          <w:highlight w:val="none"/>
          <w:lang w:val="en-US" w:eastAsia="zh-CN"/>
        </w:rPr>
        <w:t>未经批准或者骗取批准，非法占用海域开展摩托艇经营活动的，</w:t>
      </w:r>
      <w:r>
        <w:rPr>
          <w:rFonts w:hint="eastAsia" w:ascii="Times New Roman" w:hAnsi="Times New Roman" w:eastAsia="仿宋_GB2312" w:cs="Times New Roman"/>
          <w:snapToGrid w:val="0"/>
          <w:color w:val="auto"/>
          <w:spacing w:val="2"/>
          <w:kern w:val="0"/>
          <w:sz w:val="32"/>
          <w:szCs w:val="32"/>
          <w:highlight w:val="none"/>
          <w:lang w:val="en-US" w:eastAsia="zh-CN"/>
        </w:rPr>
        <w:t>由</w:t>
      </w:r>
      <w:r>
        <w:rPr>
          <w:rFonts w:hint="eastAsia" w:eastAsia="仿宋_GB2312" w:cs="Times New Roman"/>
          <w:snapToGrid w:val="0"/>
          <w:color w:val="auto"/>
          <w:spacing w:val="2"/>
          <w:kern w:val="0"/>
          <w:sz w:val="32"/>
          <w:szCs w:val="32"/>
          <w:highlight w:val="none"/>
          <w:lang w:val="en-US" w:eastAsia="zh-CN"/>
        </w:rPr>
        <w:t>执法部门责令退还非法占用的海域，恢复海域原状，没收违法所得，并处非法占用海域期间内该海域面积应缴纳的海域使用金五倍以上十五倍以下的罚款；对未经批准或者骗取批准，进行围海、填海活动的，</w:t>
      </w:r>
      <w:r>
        <w:rPr>
          <w:rFonts w:hint="eastAsia" w:ascii="Times New Roman" w:hAnsi="Times New Roman" w:eastAsia="仿宋_GB2312" w:cs="Times New Roman"/>
          <w:snapToGrid w:val="0"/>
          <w:color w:val="auto"/>
          <w:spacing w:val="2"/>
          <w:kern w:val="0"/>
          <w:sz w:val="32"/>
          <w:szCs w:val="32"/>
          <w:highlight w:val="none"/>
          <w:lang w:val="en-US" w:eastAsia="zh-CN"/>
        </w:rPr>
        <w:t>由</w:t>
      </w:r>
      <w:r>
        <w:rPr>
          <w:rFonts w:hint="eastAsia" w:eastAsia="仿宋_GB2312" w:cs="Times New Roman"/>
          <w:snapToGrid w:val="0"/>
          <w:color w:val="auto"/>
          <w:spacing w:val="2"/>
          <w:kern w:val="0"/>
          <w:sz w:val="32"/>
          <w:szCs w:val="32"/>
          <w:highlight w:val="none"/>
          <w:lang w:val="en-US" w:eastAsia="zh-CN"/>
        </w:rPr>
        <w:t>综合行政执法部门</w:t>
      </w:r>
      <w:r>
        <w:rPr>
          <w:rFonts w:hint="eastAsia" w:ascii="Times New Roman" w:hAnsi="Times New Roman" w:eastAsia="仿宋_GB2312" w:cs="Times New Roman"/>
          <w:snapToGrid w:val="0"/>
          <w:color w:val="auto"/>
          <w:spacing w:val="2"/>
          <w:kern w:val="0"/>
          <w:sz w:val="32"/>
          <w:szCs w:val="32"/>
          <w:highlight w:val="none"/>
          <w:lang w:val="en-US" w:eastAsia="zh-CN"/>
        </w:rPr>
        <w:t>处</w:t>
      </w:r>
      <w:r>
        <w:rPr>
          <w:rFonts w:hint="eastAsia" w:eastAsia="仿宋_GB2312" w:cs="Times New Roman"/>
          <w:snapToGrid w:val="0"/>
          <w:color w:val="auto"/>
          <w:spacing w:val="2"/>
          <w:kern w:val="0"/>
          <w:sz w:val="32"/>
          <w:szCs w:val="32"/>
          <w:highlight w:val="none"/>
          <w:lang w:val="en-US" w:eastAsia="zh-CN"/>
        </w:rPr>
        <w:t>并处非法占用海域期间内该海域面积应缴纳的海域使用金十倍以上二十倍以下的罚款。</w:t>
      </w:r>
    </w:p>
    <w:p w14:paraId="05D9F6BF">
      <w:pPr>
        <w:keepNext w:val="0"/>
        <w:keepLines w:val="0"/>
        <w:pageBreakBefore w:val="0"/>
        <w:wordWrap/>
        <w:overflowPunct/>
        <w:topLinePunct w:val="0"/>
        <w:bidi w:val="0"/>
        <w:spacing w:line="578" w:lineRule="exact"/>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第四十三条</w:t>
      </w:r>
      <w:r>
        <w:rPr>
          <w:rFonts w:hint="eastAsia" w:eastAsia="仿宋_GB2312" w:cs="Times New Roman"/>
          <w:snapToGrid w:val="0"/>
          <w:color w:val="auto"/>
          <w:spacing w:val="2"/>
          <w:kern w:val="0"/>
          <w:sz w:val="32"/>
          <w:szCs w:val="32"/>
          <w:highlight w:val="none"/>
          <w:lang w:val="en-US" w:eastAsia="zh-CN"/>
        </w:rPr>
        <w:t xml:space="preserve"> 经营者未经备案或者提供虚假材料进行信息备案的，由行政主管部门对其进行撤销备案并没收违法所得，并根据《</w:t>
      </w:r>
      <w:r>
        <w:rPr>
          <w:rFonts w:hint="eastAsia" w:eastAsia="仿宋_GB2312" w:cs="Times New Roman"/>
          <w:snapToGrid w:val="0"/>
          <w:color w:val="auto"/>
          <w:spacing w:val="2"/>
          <w:kern w:val="0"/>
          <w:sz w:val="32"/>
          <w:szCs w:val="32"/>
          <w:highlight w:val="none"/>
        </w:rPr>
        <w:t>中华人民共和国治安管理处罚法</w:t>
      </w:r>
      <w:r>
        <w:rPr>
          <w:rFonts w:hint="eastAsia" w:eastAsia="仿宋_GB2312" w:cs="Times New Roman"/>
          <w:snapToGrid w:val="0"/>
          <w:color w:val="auto"/>
          <w:spacing w:val="2"/>
          <w:kern w:val="0"/>
          <w:sz w:val="32"/>
          <w:szCs w:val="32"/>
          <w:highlight w:val="none"/>
          <w:lang w:val="en-US" w:eastAsia="zh-CN"/>
        </w:rPr>
        <w:t>》予以罚款；涉嫌违法犯罪行为的，移交公安机关根据《中华人民共和国治安管理处罚法》以及《中华人民共和国刑法》进行依法处罚，依法追究刑事责任。</w:t>
      </w:r>
    </w:p>
    <w:p w14:paraId="69478641">
      <w:pPr>
        <w:spacing w:line="578" w:lineRule="exact"/>
        <w:rPr>
          <w:rFonts w:hint="default"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第四十四条</w:t>
      </w:r>
      <w:r>
        <w:rPr>
          <w:rFonts w:hint="eastAsia" w:eastAsia="仿宋_GB2312" w:cs="Times New Roman"/>
          <w:snapToGrid w:val="0"/>
          <w:color w:val="auto"/>
          <w:spacing w:val="2"/>
          <w:kern w:val="0"/>
          <w:sz w:val="32"/>
          <w:szCs w:val="32"/>
          <w:highlight w:val="none"/>
          <w:lang w:val="en-US" w:eastAsia="zh-CN"/>
        </w:rPr>
        <w:t xml:space="preserve">  未备案的摩托艇，视为“三无船舶”，由综合行政执法部门依法查处。</w:t>
      </w:r>
    </w:p>
    <w:p w14:paraId="35C6672B">
      <w:pPr>
        <w:spacing w:line="578" w:lineRule="exact"/>
        <w:rPr>
          <w:rFonts w:hint="eastAsia" w:eastAsia="仿宋_GB2312" w:cs="Times New Roman"/>
          <w:b w:val="0"/>
          <w:bCs w:val="0"/>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第四十五条　</w:t>
      </w:r>
      <w:r>
        <w:rPr>
          <w:rFonts w:hint="eastAsia" w:eastAsia="仿宋_GB2312" w:cs="Times New Roman"/>
          <w:b w:val="0"/>
          <w:bCs w:val="0"/>
          <w:snapToGrid w:val="0"/>
          <w:color w:val="auto"/>
          <w:spacing w:val="2"/>
          <w:kern w:val="0"/>
          <w:sz w:val="32"/>
          <w:szCs w:val="32"/>
          <w:highlight w:val="none"/>
          <w:lang w:val="en-US" w:eastAsia="zh-CN"/>
        </w:rPr>
        <w:t>经营者</w:t>
      </w:r>
      <w:r>
        <w:rPr>
          <w:rFonts w:hint="eastAsia" w:eastAsia="仿宋_GB2312" w:cs="Times New Roman"/>
          <w:b w:val="0"/>
          <w:bCs w:val="0"/>
          <w:snapToGrid w:val="0"/>
          <w:color w:val="auto"/>
          <w:spacing w:val="2"/>
          <w:kern w:val="0"/>
          <w:sz w:val="32"/>
          <w:szCs w:val="32"/>
          <w:highlight w:val="none"/>
          <w:lang w:val="en-US" w:eastAsia="zh-CN"/>
        </w:rPr>
        <w:t>未持有有效的适航证书、保险单等法定文件的</w:t>
      </w:r>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b w:val="0"/>
          <w:bCs w:val="0"/>
          <w:snapToGrid w:val="0"/>
          <w:color w:val="auto"/>
          <w:spacing w:val="2"/>
          <w:kern w:val="0"/>
          <w:sz w:val="32"/>
          <w:szCs w:val="32"/>
          <w:highlight w:val="none"/>
          <w:lang w:val="en-US" w:eastAsia="zh-CN"/>
        </w:rPr>
        <w:t>由</w:t>
      </w:r>
      <w:r>
        <w:rPr>
          <w:rFonts w:hint="eastAsia" w:eastAsia="仿宋_GB2312" w:cs="Times New Roman"/>
          <w:snapToGrid w:val="0"/>
          <w:color w:val="auto"/>
          <w:spacing w:val="2"/>
          <w:kern w:val="0"/>
          <w:sz w:val="32"/>
          <w:szCs w:val="32"/>
          <w:highlight w:val="none"/>
          <w:lang w:val="en-US" w:eastAsia="zh-CN"/>
        </w:rPr>
        <w:t>综合行政执法部门</w:t>
      </w:r>
      <w:r>
        <w:rPr>
          <w:rFonts w:hint="eastAsia" w:eastAsia="仿宋_GB2312" w:cs="Times New Roman"/>
          <w:b w:val="0"/>
          <w:bCs w:val="0"/>
          <w:snapToGrid w:val="0"/>
          <w:color w:val="auto"/>
          <w:spacing w:val="2"/>
          <w:kern w:val="0"/>
          <w:sz w:val="32"/>
          <w:szCs w:val="32"/>
          <w:highlight w:val="none"/>
          <w:lang w:val="en-US" w:eastAsia="zh-CN"/>
        </w:rPr>
        <w:t>责令改正，对违法经营者处三万元以上三十万元以下的罚款；对持有的伪造、变造适航证书、保险单等法定文件，予以没收；对存在严重安全隐患的摩托艇，可以依法予以没收。</w:t>
      </w:r>
    </w:p>
    <w:p w14:paraId="24968480">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第四十六条</w:t>
      </w:r>
      <w:r>
        <w:rPr>
          <w:rFonts w:hint="eastAsia" w:eastAsia="仿宋_GB2312" w:cs="Times New Roman"/>
          <w:snapToGrid w:val="0"/>
          <w:color w:val="auto"/>
          <w:spacing w:val="2"/>
          <w:kern w:val="0"/>
          <w:sz w:val="32"/>
          <w:szCs w:val="32"/>
          <w:highlight w:val="none"/>
          <w:lang w:val="en-US" w:eastAsia="zh-CN"/>
        </w:rPr>
        <w:t xml:space="preserve"> 未取得驾驶资质或者教练资质的人员擅自从事摩托艇航行或者操作的，由海事管理机构</w:t>
      </w:r>
      <w:r>
        <w:rPr>
          <w:rFonts w:hint="eastAsia" w:ascii="Times New Roman" w:hAnsi="Times New Roman" w:eastAsia="仿宋_GB2312" w:cs="Times New Roman"/>
          <w:snapToGrid w:val="0"/>
          <w:color w:val="auto"/>
          <w:spacing w:val="2"/>
          <w:kern w:val="0"/>
          <w:sz w:val="32"/>
          <w:szCs w:val="32"/>
          <w:highlight w:val="none"/>
          <w:lang w:val="en-US" w:eastAsia="zh-CN"/>
        </w:rPr>
        <w:t>对直接责任人员处以</w:t>
      </w:r>
      <w:r>
        <w:rPr>
          <w:rFonts w:hint="eastAsia" w:eastAsia="仿宋_GB2312" w:cs="Times New Roman"/>
          <w:snapToGrid w:val="0"/>
          <w:color w:val="auto"/>
          <w:spacing w:val="2"/>
          <w:kern w:val="0"/>
          <w:sz w:val="32"/>
          <w:szCs w:val="32"/>
          <w:highlight w:val="none"/>
          <w:lang w:val="en-US" w:eastAsia="zh-CN"/>
        </w:rPr>
        <w:t>两千</w:t>
      </w:r>
      <w:r>
        <w:rPr>
          <w:rFonts w:hint="eastAsia" w:ascii="Times New Roman" w:hAnsi="Times New Roman" w:eastAsia="仿宋_GB2312" w:cs="Times New Roman"/>
          <w:snapToGrid w:val="0"/>
          <w:color w:val="auto"/>
          <w:spacing w:val="2"/>
          <w:kern w:val="0"/>
          <w:sz w:val="32"/>
          <w:szCs w:val="32"/>
          <w:highlight w:val="none"/>
          <w:lang w:val="en-US" w:eastAsia="zh-CN"/>
        </w:rPr>
        <w:t>元以上</w:t>
      </w:r>
      <w:r>
        <w:rPr>
          <w:rFonts w:hint="eastAsia" w:eastAsia="仿宋_GB2312" w:cs="Times New Roman"/>
          <w:snapToGrid w:val="0"/>
          <w:color w:val="auto"/>
          <w:spacing w:val="2"/>
          <w:kern w:val="0"/>
          <w:sz w:val="32"/>
          <w:szCs w:val="32"/>
          <w:highlight w:val="none"/>
          <w:lang w:val="en-US" w:eastAsia="zh-CN"/>
        </w:rPr>
        <w:t>二万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并对</w:t>
      </w:r>
      <w:r>
        <w:rPr>
          <w:rFonts w:hint="eastAsia" w:eastAsia="仿宋_GB2312" w:cs="Times New Roman"/>
          <w:snapToGrid w:val="0"/>
          <w:color w:val="auto"/>
          <w:spacing w:val="2"/>
          <w:kern w:val="0"/>
          <w:sz w:val="32"/>
          <w:szCs w:val="32"/>
          <w:highlight w:val="none"/>
          <w:lang w:val="en-US" w:eastAsia="zh-CN"/>
        </w:rPr>
        <w:t>经营者</w:t>
      </w:r>
      <w:r>
        <w:rPr>
          <w:rFonts w:hint="eastAsia" w:ascii="Times New Roman" w:hAnsi="Times New Roman" w:eastAsia="仿宋_GB2312" w:cs="Times New Roman"/>
          <w:snapToGrid w:val="0"/>
          <w:color w:val="auto"/>
          <w:spacing w:val="2"/>
          <w:kern w:val="0"/>
          <w:sz w:val="32"/>
          <w:szCs w:val="32"/>
          <w:highlight w:val="none"/>
          <w:lang w:val="en-US" w:eastAsia="zh-CN"/>
        </w:rPr>
        <w:t>处以</w:t>
      </w:r>
      <w:r>
        <w:rPr>
          <w:rFonts w:hint="eastAsia" w:eastAsia="仿宋_GB2312" w:cs="Times New Roman"/>
          <w:snapToGrid w:val="0"/>
          <w:color w:val="auto"/>
          <w:spacing w:val="2"/>
          <w:kern w:val="0"/>
          <w:sz w:val="32"/>
          <w:szCs w:val="32"/>
          <w:highlight w:val="none"/>
          <w:lang w:val="en-US" w:eastAsia="zh-CN"/>
        </w:rPr>
        <w:t>三</w:t>
      </w:r>
      <w:r>
        <w:rPr>
          <w:rFonts w:hint="eastAsia" w:ascii="Times New Roman" w:hAnsi="Times New Roman" w:eastAsia="仿宋_GB2312" w:cs="Times New Roman"/>
          <w:snapToGrid w:val="0"/>
          <w:color w:val="auto"/>
          <w:spacing w:val="2"/>
          <w:kern w:val="0"/>
          <w:sz w:val="32"/>
          <w:szCs w:val="32"/>
          <w:highlight w:val="none"/>
          <w:lang w:val="en-US" w:eastAsia="zh-CN"/>
        </w:rPr>
        <w:t>万元以上</w:t>
      </w:r>
      <w:r>
        <w:rPr>
          <w:rFonts w:hint="eastAsia" w:eastAsia="仿宋_GB2312" w:cs="Times New Roman"/>
          <w:snapToGrid w:val="0"/>
          <w:color w:val="auto"/>
          <w:spacing w:val="2"/>
          <w:kern w:val="0"/>
          <w:sz w:val="32"/>
          <w:szCs w:val="32"/>
          <w:highlight w:val="none"/>
          <w:lang w:val="en-US" w:eastAsia="zh-CN"/>
        </w:rPr>
        <w:t>十五万元以下的罚款</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6E0A7D6E">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四十七</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ascii="Times New Roman" w:hAnsi="Times New Roman" w:eastAsia="仿宋_GB2312" w:cs="Times New Roman"/>
          <w:snapToGrid w:val="0"/>
          <w:color w:val="auto"/>
          <w:spacing w:val="2"/>
          <w:kern w:val="0"/>
          <w:sz w:val="32"/>
          <w:szCs w:val="32"/>
          <w:highlight w:val="none"/>
          <w:lang w:val="en-US" w:eastAsia="zh-CN"/>
        </w:rPr>
        <w:t>　伪造、变造</w:t>
      </w:r>
      <w:r>
        <w:rPr>
          <w:rFonts w:hint="eastAsia" w:eastAsia="仿宋_GB2312" w:cs="Times New Roman"/>
          <w:snapToGrid w:val="0"/>
          <w:color w:val="auto"/>
          <w:spacing w:val="2"/>
          <w:kern w:val="0"/>
          <w:sz w:val="32"/>
          <w:szCs w:val="32"/>
          <w:highlight w:val="none"/>
          <w:lang w:val="en-US" w:eastAsia="zh-CN"/>
        </w:rPr>
        <w:t>、</w:t>
      </w:r>
      <w:r>
        <w:rPr>
          <w:rFonts w:hint="eastAsia" w:ascii="Times New Roman" w:hAnsi="Times New Roman" w:eastAsia="仿宋_GB2312" w:cs="Times New Roman"/>
          <w:snapToGrid w:val="0"/>
          <w:color w:val="auto"/>
          <w:spacing w:val="2"/>
          <w:kern w:val="0"/>
          <w:sz w:val="32"/>
          <w:szCs w:val="32"/>
          <w:highlight w:val="none"/>
          <w:lang w:val="en-US" w:eastAsia="zh-CN"/>
        </w:rPr>
        <w:t>买卖</w:t>
      </w:r>
      <w:r>
        <w:rPr>
          <w:rFonts w:hint="eastAsia" w:eastAsia="仿宋_GB2312" w:cs="Times New Roman"/>
          <w:snapToGrid w:val="0"/>
          <w:color w:val="auto"/>
          <w:spacing w:val="2"/>
          <w:kern w:val="0"/>
          <w:sz w:val="32"/>
          <w:szCs w:val="32"/>
          <w:highlight w:val="none"/>
          <w:lang w:val="en-US" w:eastAsia="zh-CN"/>
        </w:rPr>
        <w:t>、转借驾驶资质或者教练资质的</w:t>
      </w:r>
      <w:r>
        <w:rPr>
          <w:rFonts w:hint="eastAsia" w:ascii="Times New Roman" w:hAnsi="Times New Roman" w:eastAsia="仿宋_GB2312" w:cs="Times New Roman"/>
          <w:snapToGrid w:val="0"/>
          <w:color w:val="auto"/>
          <w:spacing w:val="2"/>
          <w:kern w:val="0"/>
          <w:sz w:val="32"/>
          <w:szCs w:val="32"/>
          <w:highlight w:val="none"/>
          <w:lang w:val="en-US" w:eastAsia="zh-CN"/>
        </w:rPr>
        <w:t>，由海事管理机构收缴有关证件，处</w:t>
      </w:r>
      <w:r>
        <w:rPr>
          <w:rFonts w:hint="eastAsia" w:eastAsia="仿宋_GB2312" w:cs="Times New Roman"/>
          <w:snapToGrid w:val="0"/>
          <w:color w:val="auto"/>
          <w:spacing w:val="2"/>
          <w:kern w:val="0"/>
          <w:sz w:val="32"/>
          <w:szCs w:val="32"/>
          <w:highlight w:val="none"/>
          <w:lang w:val="en-US" w:eastAsia="zh-CN"/>
        </w:rPr>
        <w:t>二万</w:t>
      </w:r>
      <w:r>
        <w:rPr>
          <w:rFonts w:hint="eastAsia" w:ascii="Times New Roman" w:hAnsi="Times New Roman" w:eastAsia="仿宋_GB2312" w:cs="Times New Roman"/>
          <w:snapToGrid w:val="0"/>
          <w:color w:val="auto"/>
          <w:spacing w:val="2"/>
          <w:kern w:val="0"/>
          <w:sz w:val="32"/>
          <w:szCs w:val="32"/>
          <w:highlight w:val="none"/>
          <w:lang w:val="en-US" w:eastAsia="zh-CN"/>
        </w:rPr>
        <w:t>元以上</w:t>
      </w:r>
      <w:r>
        <w:rPr>
          <w:rFonts w:hint="eastAsia" w:eastAsia="仿宋_GB2312" w:cs="Times New Roman"/>
          <w:snapToGrid w:val="0"/>
          <w:color w:val="auto"/>
          <w:spacing w:val="2"/>
          <w:kern w:val="0"/>
          <w:sz w:val="32"/>
          <w:szCs w:val="32"/>
          <w:highlight w:val="none"/>
          <w:lang w:val="en-US" w:eastAsia="zh-CN"/>
        </w:rPr>
        <w:t>十万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，有违法所得的，应当没收违法所得。</w:t>
      </w:r>
    </w:p>
    <w:p w14:paraId="28559400">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四十八</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ascii="Times New Roman" w:hAnsi="Times New Roman" w:eastAsia="仿宋_GB2312" w:cs="Times New Roman"/>
          <w:snapToGrid w:val="0"/>
          <w:color w:val="auto"/>
          <w:spacing w:val="2"/>
          <w:kern w:val="0"/>
          <w:sz w:val="32"/>
          <w:szCs w:val="32"/>
          <w:highlight w:val="none"/>
          <w:lang w:val="en-US" w:eastAsia="zh-CN"/>
        </w:rPr>
        <w:t>　以欺骗、贿赂等不正当手段取得</w:t>
      </w:r>
      <w:r>
        <w:rPr>
          <w:rFonts w:hint="eastAsia" w:eastAsia="仿宋_GB2312" w:cs="Times New Roman"/>
          <w:snapToGrid w:val="0"/>
          <w:color w:val="auto"/>
          <w:spacing w:val="2"/>
          <w:kern w:val="0"/>
          <w:sz w:val="32"/>
          <w:szCs w:val="32"/>
          <w:highlight w:val="none"/>
          <w:lang w:val="en-US" w:eastAsia="zh-CN"/>
        </w:rPr>
        <w:t>驾驶资质或者教练资质的</w:t>
      </w:r>
      <w:r>
        <w:rPr>
          <w:rFonts w:hint="eastAsia" w:ascii="Times New Roman" w:hAnsi="Times New Roman" w:eastAsia="仿宋_GB2312" w:cs="Times New Roman"/>
          <w:snapToGrid w:val="0"/>
          <w:color w:val="auto"/>
          <w:spacing w:val="2"/>
          <w:kern w:val="0"/>
          <w:sz w:val="32"/>
          <w:szCs w:val="32"/>
          <w:highlight w:val="none"/>
          <w:lang w:val="en-US" w:eastAsia="zh-CN"/>
        </w:rPr>
        <w:t>，由</w:t>
      </w:r>
      <w:r>
        <w:rPr>
          <w:rFonts w:hint="eastAsia" w:eastAsia="仿宋_GB2312" w:cs="Times New Roman"/>
          <w:snapToGrid w:val="0"/>
          <w:color w:val="auto"/>
          <w:spacing w:val="2"/>
          <w:kern w:val="0"/>
          <w:sz w:val="32"/>
          <w:szCs w:val="32"/>
          <w:highlight w:val="none"/>
          <w:lang w:val="en-US" w:eastAsia="zh-CN"/>
        </w:rPr>
        <w:t>海事管理机构</w:t>
      </w:r>
      <w:r>
        <w:rPr>
          <w:rFonts w:hint="eastAsia" w:ascii="Times New Roman" w:hAnsi="Times New Roman" w:eastAsia="仿宋_GB2312" w:cs="Times New Roman"/>
          <w:snapToGrid w:val="0"/>
          <w:color w:val="auto"/>
          <w:spacing w:val="2"/>
          <w:kern w:val="0"/>
          <w:sz w:val="32"/>
          <w:szCs w:val="32"/>
          <w:highlight w:val="none"/>
          <w:lang w:val="en-US" w:eastAsia="zh-CN"/>
        </w:rPr>
        <w:t>撤销有关许可，没收相关证书，对</w:t>
      </w:r>
      <w:r>
        <w:rPr>
          <w:rFonts w:hint="eastAsia" w:eastAsia="仿宋_GB2312" w:cs="Times New Roman"/>
          <w:snapToGrid w:val="0"/>
          <w:color w:val="auto"/>
          <w:spacing w:val="2"/>
          <w:kern w:val="0"/>
          <w:sz w:val="32"/>
          <w:szCs w:val="32"/>
          <w:highlight w:val="none"/>
          <w:lang w:val="en-US" w:eastAsia="zh-CN"/>
        </w:rPr>
        <w:t>经营者</w:t>
      </w:r>
      <w:r>
        <w:rPr>
          <w:rFonts w:hint="eastAsia" w:ascii="Times New Roman" w:hAnsi="Times New Roman" w:eastAsia="仿宋_GB2312" w:cs="Times New Roman"/>
          <w:snapToGrid w:val="0"/>
          <w:color w:val="auto"/>
          <w:spacing w:val="2"/>
          <w:kern w:val="0"/>
          <w:sz w:val="32"/>
          <w:szCs w:val="32"/>
          <w:highlight w:val="none"/>
          <w:lang w:val="en-US" w:eastAsia="zh-CN"/>
        </w:rPr>
        <w:t>处</w:t>
      </w:r>
      <w:r>
        <w:rPr>
          <w:rFonts w:hint="eastAsia" w:eastAsia="仿宋_GB2312" w:cs="Times New Roman"/>
          <w:snapToGrid w:val="0"/>
          <w:color w:val="auto"/>
          <w:spacing w:val="2"/>
          <w:kern w:val="0"/>
          <w:sz w:val="32"/>
          <w:szCs w:val="32"/>
          <w:highlight w:val="none"/>
          <w:lang w:val="en-US" w:eastAsia="zh-CN"/>
        </w:rPr>
        <w:t>四</w:t>
      </w:r>
      <w:r>
        <w:rPr>
          <w:rFonts w:hint="eastAsia" w:ascii="Times New Roman" w:hAnsi="Times New Roman" w:eastAsia="仿宋_GB2312" w:cs="Times New Roman"/>
          <w:snapToGrid w:val="0"/>
          <w:color w:val="auto"/>
          <w:spacing w:val="2"/>
          <w:kern w:val="0"/>
          <w:sz w:val="32"/>
          <w:szCs w:val="32"/>
          <w:highlight w:val="none"/>
          <w:lang w:val="en-US" w:eastAsia="zh-CN"/>
        </w:rPr>
        <w:t>万元以上</w:t>
      </w:r>
      <w:r>
        <w:rPr>
          <w:rFonts w:hint="eastAsia" w:eastAsia="仿宋_GB2312" w:cs="Times New Roman"/>
          <w:snapToGrid w:val="0"/>
          <w:color w:val="auto"/>
          <w:spacing w:val="2"/>
          <w:kern w:val="0"/>
          <w:sz w:val="32"/>
          <w:szCs w:val="32"/>
          <w:highlight w:val="none"/>
          <w:lang w:val="en-US" w:eastAsia="zh-CN"/>
        </w:rPr>
        <w:t>四十</w:t>
      </w:r>
      <w:r>
        <w:rPr>
          <w:rFonts w:hint="eastAsia" w:ascii="Times New Roman" w:hAnsi="Times New Roman" w:eastAsia="仿宋_GB2312" w:cs="Times New Roman"/>
          <w:snapToGrid w:val="0"/>
          <w:color w:val="auto"/>
          <w:spacing w:val="2"/>
          <w:kern w:val="0"/>
          <w:sz w:val="32"/>
          <w:szCs w:val="32"/>
          <w:highlight w:val="none"/>
          <w:lang w:val="en-US" w:eastAsia="zh-CN"/>
        </w:rPr>
        <w:t>万元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对</w:t>
      </w:r>
      <w:r>
        <w:rPr>
          <w:rFonts w:hint="eastAsia" w:eastAsia="仿宋_GB2312" w:cs="Times New Roman"/>
          <w:snapToGrid w:val="0"/>
          <w:color w:val="auto"/>
          <w:spacing w:val="2"/>
          <w:kern w:val="0"/>
          <w:sz w:val="32"/>
          <w:szCs w:val="32"/>
          <w:highlight w:val="none"/>
          <w:lang w:val="en-US" w:eastAsia="zh-CN"/>
        </w:rPr>
        <w:t>相关</w:t>
      </w:r>
      <w:r>
        <w:rPr>
          <w:rFonts w:hint="eastAsia" w:ascii="Times New Roman" w:hAnsi="Times New Roman" w:eastAsia="仿宋_GB2312" w:cs="Times New Roman"/>
          <w:snapToGrid w:val="0"/>
          <w:color w:val="auto"/>
          <w:spacing w:val="2"/>
          <w:kern w:val="0"/>
          <w:sz w:val="32"/>
          <w:szCs w:val="32"/>
          <w:highlight w:val="none"/>
          <w:lang w:val="en-US" w:eastAsia="zh-CN"/>
        </w:rPr>
        <w:t>责任人员处</w:t>
      </w:r>
      <w:r>
        <w:rPr>
          <w:rFonts w:hint="eastAsia" w:eastAsia="仿宋_GB2312" w:cs="Times New Roman"/>
          <w:snapToGrid w:val="0"/>
          <w:color w:val="auto"/>
          <w:spacing w:val="2"/>
          <w:kern w:val="0"/>
          <w:sz w:val="32"/>
          <w:szCs w:val="32"/>
          <w:highlight w:val="none"/>
          <w:lang w:val="en-US" w:eastAsia="zh-CN"/>
        </w:rPr>
        <w:t>五千元</w:t>
      </w:r>
      <w:r>
        <w:rPr>
          <w:rFonts w:hint="eastAsia" w:ascii="Times New Roman" w:hAnsi="Times New Roman" w:eastAsia="仿宋_GB2312" w:cs="Times New Roman"/>
          <w:snapToGrid w:val="0"/>
          <w:color w:val="auto"/>
          <w:spacing w:val="2"/>
          <w:kern w:val="0"/>
          <w:sz w:val="32"/>
          <w:szCs w:val="32"/>
          <w:highlight w:val="none"/>
          <w:lang w:val="en-US" w:eastAsia="zh-CN"/>
        </w:rPr>
        <w:t>以上</w:t>
      </w:r>
      <w:r>
        <w:rPr>
          <w:rFonts w:hint="eastAsia" w:eastAsia="仿宋_GB2312" w:cs="Times New Roman"/>
          <w:snapToGrid w:val="0"/>
          <w:color w:val="auto"/>
          <w:spacing w:val="2"/>
          <w:kern w:val="0"/>
          <w:sz w:val="32"/>
          <w:szCs w:val="32"/>
          <w:highlight w:val="none"/>
          <w:lang w:val="en-US" w:eastAsia="zh-CN"/>
        </w:rPr>
        <w:t>五万元以下的罚款</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1663B17E">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四十九</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摩托艇</w:t>
      </w:r>
      <w:r>
        <w:rPr>
          <w:rFonts w:hint="eastAsia" w:ascii="Times New Roman" w:hAnsi="Times New Roman" w:eastAsia="仿宋_GB2312" w:cs="Times New Roman"/>
          <w:snapToGrid w:val="0"/>
          <w:color w:val="auto"/>
          <w:spacing w:val="2"/>
          <w:kern w:val="0"/>
          <w:sz w:val="32"/>
          <w:szCs w:val="32"/>
          <w:highlight w:val="none"/>
          <w:lang w:val="en-US" w:eastAsia="zh-CN"/>
        </w:rPr>
        <w:t>未配备安全设备或</w:t>
      </w:r>
      <w:r>
        <w:rPr>
          <w:rFonts w:hint="eastAsia" w:eastAsia="仿宋_GB2312" w:cs="Times New Roman"/>
          <w:snapToGrid w:val="0"/>
          <w:color w:val="auto"/>
          <w:spacing w:val="2"/>
          <w:kern w:val="0"/>
          <w:sz w:val="32"/>
          <w:szCs w:val="32"/>
          <w:highlight w:val="none"/>
          <w:lang w:val="en-US" w:eastAsia="zh-CN"/>
        </w:rPr>
        <w:t>者</w:t>
      </w:r>
      <w:r>
        <w:rPr>
          <w:rFonts w:hint="eastAsia" w:ascii="Times New Roman" w:hAnsi="Times New Roman" w:eastAsia="仿宋_GB2312" w:cs="Times New Roman"/>
          <w:snapToGrid w:val="0"/>
          <w:color w:val="auto"/>
          <w:spacing w:val="2"/>
          <w:kern w:val="0"/>
          <w:sz w:val="32"/>
          <w:szCs w:val="32"/>
          <w:highlight w:val="none"/>
          <w:lang w:val="en-US" w:eastAsia="zh-CN"/>
        </w:rPr>
        <w:t>未定期检验的，由</w:t>
      </w:r>
      <w:r>
        <w:rPr>
          <w:rFonts w:hint="eastAsia" w:eastAsia="仿宋_GB2312" w:cs="Times New Roman"/>
          <w:snapToGrid w:val="0"/>
          <w:color w:val="auto"/>
          <w:spacing w:val="2"/>
          <w:kern w:val="0"/>
          <w:sz w:val="32"/>
          <w:szCs w:val="32"/>
          <w:highlight w:val="none"/>
          <w:lang w:val="en-US" w:eastAsia="zh-CN"/>
        </w:rPr>
        <w:t>综合行政执法部门</w:t>
      </w:r>
      <w:r>
        <w:rPr>
          <w:rFonts w:hint="eastAsia" w:ascii="Times New Roman" w:hAnsi="Times New Roman" w:eastAsia="仿宋_GB2312" w:cs="Times New Roman"/>
          <w:snapToGrid w:val="0"/>
          <w:color w:val="auto"/>
          <w:spacing w:val="2"/>
          <w:kern w:val="0"/>
          <w:sz w:val="32"/>
          <w:szCs w:val="32"/>
          <w:highlight w:val="none"/>
          <w:lang w:val="en-US" w:eastAsia="zh-CN"/>
        </w:rPr>
        <w:t>责令停航整改，处</w:t>
      </w:r>
      <w:r>
        <w:rPr>
          <w:rFonts w:hint="eastAsia" w:eastAsia="仿宋_GB2312" w:cs="Times New Roman"/>
          <w:snapToGrid w:val="0"/>
          <w:color w:val="auto"/>
          <w:spacing w:val="2"/>
          <w:kern w:val="0"/>
          <w:sz w:val="32"/>
          <w:szCs w:val="32"/>
          <w:highlight w:val="none"/>
          <w:lang w:val="en-US" w:eastAsia="zh-CN"/>
        </w:rPr>
        <w:t>一万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以上二万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6E53B8A7">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故意损坏摩托艇定位装置的，由</w:t>
      </w:r>
      <w:r>
        <w:rPr>
          <w:rFonts w:hint="eastAsia" w:eastAsia="仿宋_GB2312" w:cs="Times New Roman"/>
          <w:snapToGrid w:val="0"/>
          <w:color w:val="auto"/>
          <w:spacing w:val="2"/>
          <w:kern w:val="0"/>
          <w:sz w:val="32"/>
          <w:szCs w:val="32"/>
          <w:highlight w:val="none"/>
          <w:lang w:val="en-US" w:eastAsia="zh-CN"/>
        </w:rPr>
        <w:t>海事管理机构或者综合行政执法部门</w:t>
      </w:r>
      <w:r>
        <w:rPr>
          <w:rFonts w:hint="eastAsia" w:ascii="Times New Roman" w:hAnsi="Times New Roman" w:eastAsia="仿宋_GB2312" w:cs="Times New Roman"/>
          <w:snapToGrid w:val="0"/>
          <w:color w:val="auto"/>
          <w:spacing w:val="2"/>
          <w:kern w:val="0"/>
          <w:sz w:val="32"/>
          <w:szCs w:val="32"/>
          <w:highlight w:val="none"/>
          <w:lang w:val="en-US" w:eastAsia="zh-CN"/>
        </w:rPr>
        <w:t>处</w:t>
      </w:r>
      <w:r>
        <w:rPr>
          <w:rFonts w:hint="eastAsia" w:eastAsia="仿宋_GB2312" w:cs="Times New Roman"/>
          <w:snapToGrid w:val="0"/>
          <w:color w:val="auto"/>
          <w:spacing w:val="2"/>
          <w:kern w:val="0"/>
          <w:sz w:val="32"/>
          <w:szCs w:val="32"/>
          <w:highlight w:val="none"/>
          <w:lang w:val="en-US" w:eastAsia="zh-CN"/>
        </w:rPr>
        <w:t>二万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以上五万元以下的罚款</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2313AC0E">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摩托艇</w:t>
      </w:r>
      <w:r>
        <w:rPr>
          <w:rFonts w:hint="eastAsia" w:ascii="Times New Roman" w:hAnsi="Times New Roman" w:eastAsia="仿宋_GB2312" w:cs="Times New Roman"/>
          <w:snapToGrid w:val="0"/>
          <w:color w:val="auto"/>
          <w:spacing w:val="2"/>
          <w:kern w:val="0"/>
          <w:sz w:val="32"/>
          <w:szCs w:val="32"/>
          <w:highlight w:val="none"/>
          <w:lang w:val="en-US" w:eastAsia="zh-CN"/>
        </w:rPr>
        <w:t>救生衣</w:t>
      </w:r>
      <w:bookmarkStart w:id="0" w:name="_GoBack"/>
      <w:bookmarkEnd w:id="0"/>
      <w:r>
        <w:rPr>
          <w:rFonts w:hint="eastAsia" w:ascii="Times New Roman" w:hAnsi="Times New Roman" w:eastAsia="仿宋_GB2312" w:cs="Times New Roman"/>
          <w:snapToGrid w:val="0"/>
          <w:color w:val="auto"/>
          <w:spacing w:val="2"/>
          <w:kern w:val="0"/>
          <w:sz w:val="32"/>
          <w:szCs w:val="32"/>
          <w:highlight w:val="none"/>
          <w:lang w:val="en-US" w:eastAsia="zh-CN"/>
        </w:rPr>
        <w:t>、</w:t>
      </w:r>
      <w:r>
        <w:rPr>
          <w:rFonts w:hint="eastAsia" w:eastAsia="仿宋_GB2312" w:cs="Times New Roman"/>
          <w:snapToGrid w:val="0"/>
          <w:color w:val="auto"/>
          <w:spacing w:val="2"/>
          <w:kern w:val="0"/>
          <w:sz w:val="32"/>
          <w:szCs w:val="32"/>
          <w:highlight w:val="none"/>
          <w:lang w:val="en-US" w:eastAsia="zh-CN"/>
        </w:rPr>
        <w:t>监控设备</w:t>
      </w:r>
      <w:r>
        <w:rPr>
          <w:rFonts w:hint="eastAsia" w:ascii="Times New Roman" w:hAnsi="Times New Roman" w:eastAsia="仿宋_GB2312" w:cs="Times New Roman"/>
          <w:snapToGrid w:val="0"/>
          <w:color w:val="auto"/>
          <w:spacing w:val="2"/>
          <w:kern w:val="0"/>
          <w:sz w:val="32"/>
          <w:szCs w:val="32"/>
          <w:highlight w:val="none"/>
          <w:lang w:val="en-US" w:eastAsia="zh-CN"/>
        </w:rPr>
        <w:t>等缺失或失效的，由</w:t>
      </w:r>
      <w:r>
        <w:rPr>
          <w:rFonts w:hint="eastAsia" w:eastAsia="仿宋_GB2312" w:cs="Times New Roman"/>
          <w:snapToGrid w:val="0"/>
          <w:color w:val="auto"/>
          <w:spacing w:val="2"/>
          <w:kern w:val="0"/>
          <w:sz w:val="32"/>
          <w:szCs w:val="32"/>
          <w:highlight w:val="none"/>
          <w:lang w:val="en-US" w:eastAsia="zh-CN"/>
        </w:rPr>
        <w:t>海事管理机构或者综合行政执法部门</w:t>
      </w:r>
      <w:r>
        <w:rPr>
          <w:rFonts w:hint="eastAsia" w:ascii="Times New Roman" w:hAnsi="Times New Roman" w:eastAsia="仿宋_GB2312" w:cs="Times New Roman"/>
          <w:snapToGrid w:val="0"/>
          <w:color w:val="auto"/>
          <w:spacing w:val="2"/>
          <w:kern w:val="0"/>
          <w:sz w:val="32"/>
          <w:szCs w:val="32"/>
          <w:highlight w:val="none"/>
          <w:lang w:val="en-US" w:eastAsia="zh-CN"/>
        </w:rPr>
        <w:t>处</w:t>
      </w:r>
      <w:r>
        <w:rPr>
          <w:rFonts w:hint="eastAsia" w:eastAsia="仿宋_GB2312" w:cs="Times New Roman"/>
          <w:snapToGrid w:val="0"/>
          <w:color w:val="auto"/>
          <w:spacing w:val="2"/>
          <w:kern w:val="0"/>
          <w:sz w:val="32"/>
          <w:szCs w:val="32"/>
          <w:highlight w:val="none"/>
          <w:lang w:val="en-US" w:eastAsia="zh-CN"/>
        </w:rPr>
        <w:t>五千元</w:t>
      </w:r>
      <w:r>
        <w:rPr>
          <w:rFonts w:hint="eastAsia" w:ascii="Times New Roman" w:hAnsi="Times New Roman" w:eastAsia="仿宋_GB2312" w:cs="Times New Roman"/>
          <w:snapToGrid w:val="0"/>
          <w:color w:val="auto"/>
          <w:spacing w:val="2"/>
          <w:kern w:val="0"/>
          <w:sz w:val="32"/>
          <w:szCs w:val="32"/>
          <w:highlight w:val="none"/>
          <w:lang w:val="en-US" w:eastAsia="zh-CN"/>
        </w:rPr>
        <w:t>罚款；造成事故的，</w:t>
      </w:r>
      <w:r>
        <w:rPr>
          <w:rFonts w:hint="eastAsia" w:eastAsia="仿宋_GB2312" w:cs="Times New Roman"/>
          <w:snapToGrid w:val="0"/>
          <w:color w:val="auto"/>
          <w:spacing w:val="2"/>
          <w:kern w:val="0"/>
          <w:sz w:val="32"/>
          <w:szCs w:val="32"/>
          <w:highlight w:val="none"/>
          <w:lang w:val="en-US" w:eastAsia="zh-CN"/>
        </w:rPr>
        <w:t>并处</w:t>
      </w:r>
      <w:r>
        <w:rPr>
          <w:rFonts w:hint="eastAsia" w:ascii="Times New Roman" w:hAnsi="Times New Roman" w:eastAsia="仿宋_GB2312" w:cs="Times New Roman"/>
          <w:snapToGrid w:val="0"/>
          <w:color w:val="auto"/>
          <w:spacing w:val="2"/>
          <w:kern w:val="0"/>
          <w:sz w:val="32"/>
          <w:szCs w:val="32"/>
          <w:highlight w:val="none"/>
          <w:lang w:val="en-US" w:eastAsia="zh-CN"/>
        </w:rPr>
        <w:t>吊销经营资质</w:t>
      </w:r>
      <w:r>
        <w:rPr>
          <w:rFonts w:hint="eastAsia" w:eastAsia="仿宋_GB2312" w:cs="Times New Roman"/>
          <w:snapToGrid w:val="0"/>
          <w:color w:val="auto"/>
          <w:spacing w:val="2"/>
          <w:kern w:val="0"/>
          <w:sz w:val="32"/>
          <w:szCs w:val="32"/>
          <w:highlight w:val="none"/>
          <w:lang w:val="en-US" w:eastAsia="zh-CN"/>
        </w:rPr>
        <w:t>，</w:t>
      </w:r>
      <w:r>
        <w:rPr>
          <w:rFonts w:hint="eastAsia" w:ascii="Times New Roman" w:hAnsi="Times New Roman" w:eastAsia="仿宋_GB2312" w:cs="Times New Roman"/>
          <w:snapToGrid w:val="0"/>
          <w:color w:val="auto"/>
          <w:spacing w:val="2"/>
          <w:kern w:val="0"/>
          <w:sz w:val="32"/>
          <w:szCs w:val="32"/>
          <w:highlight w:val="none"/>
          <w:lang w:val="en-US" w:eastAsia="zh-CN"/>
        </w:rPr>
        <w:t>追究刑责</w:t>
      </w:r>
      <w:r>
        <w:rPr>
          <w:rFonts w:hint="eastAsia" w:eastAsia="仿宋_GB2312" w:cs="Times New Roman"/>
          <w:snapToGrid w:val="0"/>
          <w:color w:val="auto"/>
          <w:spacing w:val="2"/>
          <w:kern w:val="0"/>
          <w:sz w:val="32"/>
          <w:szCs w:val="32"/>
          <w:highlight w:val="none"/>
          <w:lang w:val="en-US" w:eastAsia="zh-CN"/>
        </w:rPr>
        <w:t>。</w:t>
      </w:r>
    </w:p>
    <w:p w14:paraId="5A2E369E">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五十</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涉及</w:t>
      </w:r>
      <w:r>
        <w:rPr>
          <w:rFonts w:hint="eastAsia" w:ascii="Times New Roman" w:hAnsi="Times New Roman" w:eastAsia="仿宋_GB2312" w:cs="Times New Roman"/>
          <w:snapToGrid w:val="0"/>
          <w:color w:val="auto"/>
          <w:spacing w:val="2"/>
          <w:kern w:val="0"/>
          <w:sz w:val="32"/>
          <w:szCs w:val="32"/>
          <w:highlight w:val="none"/>
          <w:lang w:val="en-US" w:eastAsia="zh-CN"/>
        </w:rPr>
        <w:t>虚假宣传或</w:t>
      </w:r>
      <w:r>
        <w:rPr>
          <w:rFonts w:hint="eastAsia" w:eastAsia="仿宋_GB2312" w:cs="Times New Roman"/>
          <w:snapToGrid w:val="0"/>
          <w:color w:val="auto"/>
          <w:spacing w:val="2"/>
          <w:kern w:val="0"/>
          <w:sz w:val="32"/>
          <w:szCs w:val="32"/>
          <w:highlight w:val="none"/>
          <w:lang w:val="en-US" w:eastAsia="zh-CN"/>
        </w:rPr>
        <w:t>者</w:t>
      </w:r>
      <w:r>
        <w:rPr>
          <w:rFonts w:hint="eastAsia" w:ascii="Times New Roman" w:hAnsi="Times New Roman" w:eastAsia="仿宋_GB2312" w:cs="Times New Roman"/>
          <w:snapToGrid w:val="0"/>
          <w:color w:val="auto"/>
          <w:spacing w:val="2"/>
          <w:kern w:val="0"/>
          <w:sz w:val="32"/>
          <w:szCs w:val="32"/>
          <w:highlight w:val="none"/>
          <w:lang w:val="en-US" w:eastAsia="zh-CN"/>
        </w:rPr>
        <w:t>价格欺诈</w:t>
      </w:r>
      <w:r>
        <w:rPr>
          <w:rFonts w:hint="eastAsia" w:eastAsia="仿宋_GB2312" w:cs="Times New Roman"/>
          <w:snapToGrid w:val="0"/>
          <w:color w:val="auto"/>
          <w:spacing w:val="2"/>
          <w:kern w:val="0"/>
          <w:sz w:val="32"/>
          <w:szCs w:val="32"/>
          <w:highlight w:val="none"/>
          <w:lang w:val="en-US" w:eastAsia="zh-CN"/>
        </w:rPr>
        <w:t>的，由</w:t>
      </w:r>
      <w:r>
        <w:rPr>
          <w:rFonts w:hint="eastAsia" w:ascii="Times New Roman" w:hAnsi="Times New Roman" w:eastAsia="仿宋_GB2312" w:cs="Times New Roman"/>
          <w:snapToGrid w:val="0"/>
          <w:color w:val="auto"/>
          <w:spacing w:val="2"/>
          <w:kern w:val="0"/>
          <w:sz w:val="32"/>
          <w:szCs w:val="32"/>
          <w:highlight w:val="none"/>
          <w:lang w:val="en-US" w:eastAsia="zh-CN"/>
        </w:rPr>
        <w:t>市场监督管理部门依照《中华人民共和国价格法》《中华人民共和国反不正当竞争法》《中华人民共和国电子商务法》《价格违法行为行政处罚规定》</w:t>
      </w:r>
      <w:r>
        <w:rPr>
          <w:rFonts w:hint="eastAsia" w:eastAsia="仿宋_GB2312" w:cs="Times New Roman"/>
          <w:snapToGrid w:val="0"/>
          <w:color w:val="auto"/>
          <w:spacing w:val="2"/>
          <w:kern w:val="0"/>
          <w:sz w:val="32"/>
          <w:szCs w:val="32"/>
          <w:highlight w:val="none"/>
          <w:lang w:val="en-US" w:eastAsia="zh-CN"/>
        </w:rPr>
        <w:t>《明码标价和禁止价格欺诈的规定》</w:t>
      </w:r>
      <w:r>
        <w:rPr>
          <w:rFonts w:hint="eastAsia" w:ascii="Times New Roman" w:hAnsi="Times New Roman" w:eastAsia="仿宋_GB2312" w:cs="Times New Roman"/>
          <w:snapToGrid w:val="0"/>
          <w:color w:val="auto"/>
          <w:spacing w:val="2"/>
          <w:kern w:val="0"/>
          <w:sz w:val="32"/>
          <w:szCs w:val="32"/>
          <w:highlight w:val="none"/>
          <w:lang w:val="en-US" w:eastAsia="zh-CN"/>
        </w:rPr>
        <w:t>等法律法规进行处罚。</w:t>
      </w:r>
    </w:p>
    <w:p w14:paraId="018BB23A">
      <w:pPr>
        <w:keepNext w:val="0"/>
        <w:keepLines w:val="0"/>
        <w:pageBreakBefore w:val="0"/>
        <w:wordWrap/>
        <w:overflowPunct/>
        <w:topLinePunct w:val="0"/>
        <w:bidi w:val="0"/>
        <w:spacing w:line="578" w:lineRule="exact"/>
        <w:rPr>
          <w:rFonts w:hint="eastAsia" w:eastAsia="仿宋_GB2312" w:cs="Times New Roman"/>
          <w:b/>
          <w:bCs/>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 xml:space="preserve">第五十一条 </w:t>
      </w:r>
      <w:r>
        <w:rPr>
          <w:rFonts w:hint="eastAsia" w:eastAsia="仿宋_GB2312" w:cs="Times New Roman"/>
          <w:b w:val="0"/>
          <w:bCs w:val="0"/>
          <w:snapToGrid w:val="0"/>
          <w:color w:val="auto"/>
          <w:spacing w:val="2"/>
          <w:kern w:val="0"/>
          <w:sz w:val="32"/>
          <w:szCs w:val="32"/>
          <w:highlight w:val="none"/>
          <w:lang w:val="en-US" w:eastAsia="zh-CN"/>
        </w:rPr>
        <w:t>经营者与消费者未签订</w:t>
      </w:r>
      <w:r>
        <w:rPr>
          <w:rFonts w:hint="eastAsia" w:ascii="Times New Roman" w:hAnsi="Times New Roman" w:eastAsia="仿宋_GB2312" w:cs="Times New Roman"/>
          <w:snapToGrid w:val="0"/>
          <w:color w:val="auto"/>
          <w:spacing w:val="2"/>
          <w:kern w:val="0"/>
          <w:sz w:val="32"/>
          <w:szCs w:val="32"/>
          <w:highlight w:val="none"/>
          <w:lang w:val="en-US" w:eastAsia="zh-CN"/>
        </w:rPr>
        <w:t>书面</w:t>
      </w:r>
      <w:r>
        <w:rPr>
          <w:rFonts w:hint="eastAsia" w:eastAsia="仿宋_GB2312" w:cs="Times New Roman"/>
          <w:b w:val="0"/>
          <w:bCs w:val="0"/>
          <w:snapToGrid w:val="0"/>
          <w:color w:val="auto"/>
          <w:spacing w:val="2"/>
          <w:kern w:val="0"/>
          <w:sz w:val="32"/>
          <w:szCs w:val="32"/>
          <w:highlight w:val="none"/>
          <w:lang w:val="en-US" w:eastAsia="zh-CN"/>
        </w:rPr>
        <w:t>合同的，由旅游执法部门责令改正，并处二万元以上十万元以下的罚款。</w:t>
      </w:r>
    </w:p>
    <w:p w14:paraId="568BFCCC">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第五十二条</w:t>
      </w:r>
      <w:r>
        <w:rPr>
          <w:rFonts w:hint="eastAsia" w:eastAsia="仿宋_GB2312" w:cs="Times New Roman"/>
          <w:snapToGrid w:val="0"/>
          <w:color w:val="auto"/>
          <w:spacing w:val="2"/>
          <w:kern w:val="0"/>
          <w:sz w:val="32"/>
          <w:szCs w:val="32"/>
          <w:highlight w:val="none"/>
          <w:lang w:val="en-US" w:eastAsia="zh-CN"/>
        </w:rPr>
        <w:t xml:space="preserve"> 经营者未按照规定投保保险的</w:t>
      </w:r>
      <w:r>
        <w:rPr>
          <w:rFonts w:hint="eastAsia" w:ascii="Times New Roman" w:hAnsi="Times New Roman" w:eastAsia="仿宋_GB2312" w:cs="Times New Roman"/>
          <w:snapToGrid w:val="0"/>
          <w:color w:val="auto"/>
          <w:spacing w:val="2"/>
          <w:kern w:val="0"/>
          <w:sz w:val="32"/>
          <w:szCs w:val="32"/>
          <w:highlight w:val="none"/>
          <w:lang w:val="en-US" w:eastAsia="zh-CN"/>
        </w:rPr>
        <w:t>，由旅游</w:t>
      </w:r>
      <w:r>
        <w:rPr>
          <w:rFonts w:hint="eastAsia" w:eastAsia="仿宋_GB2312" w:cs="Times New Roman"/>
          <w:snapToGrid w:val="0"/>
          <w:color w:val="auto"/>
          <w:spacing w:val="2"/>
          <w:kern w:val="0"/>
          <w:sz w:val="32"/>
          <w:szCs w:val="32"/>
          <w:highlight w:val="none"/>
          <w:lang w:val="en-US" w:eastAsia="zh-CN"/>
        </w:rPr>
        <w:t>执法部门</w:t>
      </w:r>
      <w:r>
        <w:rPr>
          <w:rFonts w:hint="eastAsia" w:ascii="Times New Roman" w:hAnsi="Times New Roman" w:eastAsia="仿宋_GB2312" w:cs="Times New Roman"/>
          <w:snapToGrid w:val="0"/>
          <w:color w:val="auto"/>
          <w:spacing w:val="2"/>
          <w:kern w:val="0"/>
          <w:sz w:val="32"/>
          <w:szCs w:val="32"/>
          <w:highlight w:val="none"/>
          <w:lang w:val="en-US" w:eastAsia="zh-CN"/>
        </w:rPr>
        <w:t>责令改正，没收违法所得，并处</w:t>
      </w:r>
      <w:r>
        <w:rPr>
          <w:rFonts w:hint="eastAsia" w:eastAsia="仿宋_GB2312" w:cs="Times New Roman"/>
          <w:snapToGrid w:val="0"/>
          <w:color w:val="auto"/>
          <w:spacing w:val="2"/>
          <w:kern w:val="0"/>
          <w:sz w:val="32"/>
          <w:szCs w:val="32"/>
          <w:highlight w:val="none"/>
          <w:lang w:val="en-US" w:eastAsia="zh-CN"/>
        </w:rPr>
        <w:t>五千元</w:t>
      </w:r>
      <w:r>
        <w:rPr>
          <w:rFonts w:hint="eastAsia" w:ascii="Times New Roman" w:hAnsi="Times New Roman" w:eastAsia="仿宋_GB2312" w:cs="Times New Roman"/>
          <w:snapToGrid w:val="0"/>
          <w:color w:val="auto"/>
          <w:spacing w:val="2"/>
          <w:kern w:val="0"/>
          <w:sz w:val="32"/>
          <w:szCs w:val="32"/>
          <w:highlight w:val="none"/>
          <w:lang w:val="en-US" w:eastAsia="zh-CN"/>
        </w:rPr>
        <w:t>以上</w:t>
      </w:r>
      <w:r>
        <w:rPr>
          <w:rFonts w:hint="eastAsia" w:eastAsia="仿宋_GB2312" w:cs="Times New Roman"/>
          <w:snapToGrid w:val="0"/>
          <w:color w:val="auto"/>
          <w:spacing w:val="2"/>
          <w:kern w:val="0"/>
          <w:sz w:val="32"/>
          <w:szCs w:val="32"/>
          <w:highlight w:val="none"/>
          <w:lang w:val="en-US" w:eastAsia="zh-CN"/>
        </w:rPr>
        <w:t>五万元以下的罚款</w:t>
      </w:r>
      <w:r>
        <w:rPr>
          <w:rFonts w:hint="eastAsia" w:ascii="Times New Roman" w:hAnsi="Times New Roman" w:eastAsia="仿宋_GB2312" w:cs="Times New Roman"/>
          <w:snapToGrid w:val="0"/>
          <w:color w:val="auto"/>
          <w:spacing w:val="2"/>
          <w:kern w:val="0"/>
          <w:sz w:val="32"/>
          <w:szCs w:val="32"/>
          <w:highlight w:val="none"/>
          <w:lang w:val="en-US" w:eastAsia="zh-CN"/>
        </w:rPr>
        <w:t>；违法所得</w:t>
      </w:r>
      <w:r>
        <w:rPr>
          <w:rFonts w:hint="eastAsia" w:eastAsia="仿宋_GB2312" w:cs="Times New Roman"/>
          <w:snapToGrid w:val="0"/>
          <w:color w:val="auto"/>
          <w:spacing w:val="2"/>
          <w:kern w:val="0"/>
          <w:sz w:val="32"/>
          <w:szCs w:val="32"/>
          <w:highlight w:val="none"/>
          <w:lang w:val="en-US" w:eastAsia="zh-CN"/>
        </w:rPr>
        <w:t>五万元</w:t>
      </w:r>
      <w:r>
        <w:rPr>
          <w:rFonts w:hint="eastAsia" w:ascii="Times New Roman" w:hAnsi="Times New Roman" w:eastAsia="仿宋_GB2312" w:cs="Times New Roman"/>
          <w:snapToGrid w:val="0"/>
          <w:color w:val="auto"/>
          <w:spacing w:val="2"/>
          <w:kern w:val="0"/>
          <w:sz w:val="32"/>
          <w:szCs w:val="32"/>
          <w:highlight w:val="none"/>
          <w:lang w:val="en-US" w:eastAsia="zh-CN"/>
        </w:rPr>
        <w:t>以上的，并处违法所得一倍以上五倍</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；情节严重的，责令停业整顿或者吊销业务经营许可证；对</w:t>
      </w:r>
      <w:r>
        <w:rPr>
          <w:rFonts w:hint="eastAsia" w:eastAsia="仿宋_GB2312" w:cs="Times New Roman"/>
          <w:snapToGrid w:val="0"/>
          <w:color w:val="auto"/>
          <w:spacing w:val="2"/>
          <w:kern w:val="0"/>
          <w:sz w:val="32"/>
          <w:szCs w:val="32"/>
          <w:highlight w:val="none"/>
          <w:lang w:val="en-US" w:eastAsia="zh-CN"/>
        </w:rPr>
        <w:t>相关</w:t>
      </w:r>
      <w:r>
        <w:rPr>
          <w:rFonts w:hint="eastAsia" w:ascii="Times New Roman" w:hAnsi="Times New Roman" w:eastAsia="仿宋_GB2312" w:cs="Times New Roman"/>
          <w:snapToGrid w:val="0"/>
          <w:color w:val="auto"/>
          <w:spacing w:val="2"/>
          <w:kern w:val="0"/>
          <w:sz w:val="32"/>
          <w:szCs w:val="32"/>
          <w:highlight w:val="none"/>
          <w:lang w:val="en-US" w:eastAsia="zh-CN"/>
        </w:rPr>
        <w:t>责任人员，处二千元以上二万元</w:t>
      </w:r>
      <w:r>
        <w:rPr>
          <w:rFonts w:hint="eastAsia" w:eastAsia="仿宋_GB2312" w:cs="Times New Roman"/>
          <w:snapToGrid w:val="0"/>
          <w:color w:val="auto"/>
          <w:spacing w:val="2"/>
          <w:kern w:val="0"/>
          <w:sz w:val="32"/>
          <w:szCs w:val="32"/>
          <w:highlight w:val="none"/>
          <w:lang w:val="en-US" w:eastAsia="zh-CN"/>
        </w:rPr>
        <w:t>以下的罚款。</w:t>
      </w:r>
    </w:p>
    <w:p w14:paraId="295EDD3B">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第五十三条</w:t>
      </w:r>
      <w:r>
        <w:rPr>
          <w:rFonts w:hint="eastAsia" w:ascii="Times New Roman" w:hAnsi="Times New Roman" w:eastAsia="仿宋_GB2312" w:cs="Times New Roman"/>
          <w:b/>
          <w:bCs/>
          <w:snapToGrid w:val="0"/>
          <w:color w:val="auto"/>
          <w:spacing w:val="2"/>
          <w:kern w:val="0"/>
          <w:sz w:val="32"/>
          <w:szCs w:val="32"/>
          <w:highlight w:val="none"/>
          <w:lang w:val="en-US" w:eastAsia="zh-CN"/>
        </w:rPr>
        <w:t xml:space="preserve"> </w:t>
      </w:r>
      <w:r>
        <w:rPr>
          <w:rFonts w:hint="eastAsia" w:eastAsia="仿宋_GB2312" w:cs="Times New Roman"/>
          <w:snapToGrid w:val="0"/>
          <w:color w:val="auto"/>
          <w:spacing w:val="2"/>
          <w:kern w:val="0"/>
          <w:sz w:val="32"/>
          <w:szCs w:val="32"/>
          <w:highlight w:val="none"/>
          <w:lang w:val="en-US" w:eastAsia="zh-CN"/>
        </w:rPr>
        <w:t>经营者</w:t>
      </w:r>
      <w:r>
        <w:rPr>
          <w:rFonts w:hint="eastAsia" w:ascii="Times New Roman" w:hAnsi="Times New Roman" w:eastAsia="仿宋_GB2312" w:cs="Times New Roman"/>
          <w:snapToGrid w:val="0"/>
          <w:color w:val="auto"/>
          <w:spacing w:val="2"/>
          <w:kern w:val="0"/>
          <w:sz w:val="32"/>
          <w:szCs w:val="32"/>
          <w:highlight w:val="none"/>
          <w:lang w:val="en-US" w:eastAsia="zh-CN"/>
        </w:rPr>
        <w:t>未按照规定编制应急预案</w:t>
      </w:r>
      <w:r>
        <w:rPr>
          <w:rFonts w:hint="eastAsia" w:eastAsia="仿宋_GB2312" w:cs="Times New Roman"/>
          <w:snapToGrid w:val="0"/>
          <w:color w:val="auto"/>
          <w:spacing w:val="2"/>
          <w:kern w:val="0"/>
          <w:sz w:val="32"/>
          <w:szCs w:val="32"/>
          <w:highlight w:val="none"/>
          <w:lang w:val="en-US" w:eastAsia="zh-CN"/>
        </w:rPr>
        <w:t>和</w:t>
      </w:r>
      <w:r>
        <w:rPr>
          <w:rFonts w:hint="eastAsia" w:ascii="Times New Roman" w:hAnsi="Times New Roman" w:eastAsia="仿宋_GB2312" w:cs="Times New Roman"/>
          <w:snapToGrid w:val="0"/>
          <w:color w:val="auto"/>
          <w:spacing w:val="2"/>
          <w:kern w:val="0"/>
          <w:sz w:val="32"/>
          <w:szCs w:val="32"/>
          <w:highlight w:val="none"/>
          <w:lang w:val="en-US" w:eastAsia="zh-CN"/>
        </w:rPr>
        <w:t>定期组织应急预案演练的</w:t>
      </w:r>
      <w:r>
        <w:rPr>
          <w:rFonts w:hint="eastAsia" w:eastAsia="仿宋_GB2312" w:cs="Times New Roman"/>
          <w:snapToGrid w:val="0"/>
          <w:color w:val="auto"/>
          <w:spacing w:val="2"/>
          <w:kern w:val="0"/>
          <w:sz w:val="32"/>
          <w:szCs w:val="32"/>
          <w:highlight w:val="none"/>
          <w:lang w:val="en-US" w:eastAsia="zh-CN"/>
        </w:rPr>
        <w:t>，由综合行政执法部门</w:t>
      </w:r>
      <w:r>
        <w:rPr>
          <w:rFonts w:hint="eastAsia" w:ascii="Times New Roman" w:hAnsi="Times New Roman" w:eastAsia="仿宋_GB2312" w:cs="Times New Roman"/>
          <w:snapToGrid w:val="0"/>
          <w:color w:val="auto"/>
          <w:spacing w:val="2"/>
          <w:kern w:val="0"/>
          <w:sz w:val="32"/>
          <w:szCs w:val="32"/>
          <w:highlight w:val="none"/>
          <w:lang w:val="en-US" w:eastAsia="zh-CN"/>
        </w:rPr>
        <w:t>责令限期改正，处</w:t>
      </w:r>
      <w:r>
        <w:rPr>
          <w:rFonts w:hint="eastAsia" w:eastAsia="仿宋_GB2312" w:cs="Times New Roman"/>
          <w:snapToGrid w:val="0"/>
          <w:color w:val="auto"/>
          <w:spacing w:val="2"/>
          <w:kern w:val="0"/>
          <w:sz w:val="32"/>
          <w:szCs w:val="32"/>
          <w:highlight w:val="none"/>
          <w:lang w:val="en-US" w:eastAsia="zh-CN"/>
        </w:rPr>
        <w:t>十万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；逾期未改正的，责令停产停业整顿，并处</w:t>
      </w:r>
      <w:r>
        <w:rPr>
          <w:rFonts w:hint="eastAsia" w:eastAsia="仿宋_GB2312" w:cs="Times New Roman"/>
          <w:snapToGrid w:val="0"/>
          <w:color w:val="auto"/>
          <w:spacing w:val="2"/>
          <w:kern w:val="0"/>
          <w:sz w:val="32"/>
          <w:szCs w:val="32"/>
          <w:highlight w:val="none"/>
          <w:lang w:val="en-US" w:eastAsia="zh-CN"/>
        </w:rPr>
        <w:t>十万</w:t>
      </w:r>
      <w:r>
        <w:rPr>
          <w:rFonts w:hint="eastAsia" w:ascii="Times New Roman" w:hAnsi="Times New Roman" w:eastAsia="仿宋_GB2312" w:cs="Times New Roman"/>
          <w:snapToGrid w:val="0"/>
          <w:color w:val="auto"/>
          <w:spacing w:val="2"/>
          <w:kern w:val="0"/>
          <w:sz w:val="32"/>
          <w:szCs w:val="32"/>
          <w:highlight w:val="none"/>
          <w:lang w:val="en-US" w:eastAsia="zh-CN"/>
        </w:rPr>
        <w:t>元以上</w:t>
      </w:r>
      <w:r>
        <w:rPr>
          <w:rFonts w:hint="eastAsia" w:eastAsia="仿宋_GB2312" w:cs="Times New Roman"/>
          <w:snapToGrid w:val="0"/>
          <w:color w:val="auto"/>
          <w:spacing w:val="2"/>
          <w:kern w:val="0"/>
          <w:sz w:val="32"/>
          <w:szCs w:val="32"/>
          <w:highlight w:val="none"/>
          <w:lang w:val="en-US" w:eastAsia="zh-CN"/>
        </w:rPr>
        <w:t>二十万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，对</w:t>
      </w:r>
      <w:r>
        <w:rPr>
          <w:rFonts w:hint="eastAsia" w:eastAsia="仿宋_GB2312" w:cs="Times New Roman"/>
          <w:snapToGrid w:val="0"/>
          <w:color w:val="auto"/>
          <w:spacing w:val="2"/>
          <w:kern w:val="0"/>
          <w:sz w:val="32"/>
          <w:szCs w:val="32"/>
          <w:highlight w:val="none"/>
          <w:lang w:val="en-US" w:eastAsia="zh-CN"/>
        </w:rPr>
        <w:t>相关</w:t>
      </w:r>
      <w:r>
        <w:rPr>
          <w:rFonts w:hint="eastAsia" w:ascii="Times New Roman" w:hAnsi="Times New Roman" w:eastAsia="仿宋_GB2312" w:cs="Times New Roman"/>
          <w:snapToGrid w:val="0"/>
          <w:color w:val="auto"/>
          <w:spacing w:val="2"/>
          <w:kern w:val="0"/>
          <w:sz w:val="32"/>
          <w:szCs w:val="32"/>
          <w:highlight w:val="none"/>
          <w:lang w:val="en-US" w:eastAsia="zh-CN"/>
        </w:rPr>
        <w:t>责任人员处</w:t>
      </w:r>
      <w:r>
        <w:rPr>
          <w:rFonts w:hint="eastAsia" w:eastAsia="仿宋_GB2312" w:cs="Times New Roman"/>
          <w:snapToGrid w:val="0"/>
          <w:color w:val="auto"/>
          <w:spacing w:val="2"/>
          <w:kern w:val="0"/>
          <w:sz w:val="32"/>
          <w:szCs w:val="32"/>
          <w:highlight w:val="none"/>
          <w:lang w:val="en-US" w:eastAsia="zh-CN"/>
        </w:rPr>
        <w:t>两万</w:t>
      </w:r>
      <w:r>
        <w:rPr>
          <w:rFonts w:hint="eastAsia" w:ascii="Times New Roman" w:hAnsi="Times New Roman" w:eastAsia="仿宋_GB2312" w:cs="Times New Roman"/>
          <w:snapToGrid w:val="0"/>
          <w:color w:val="auto"/>
          <w:spacing w:val="2"/>
          <w:kern w:val="0"/>
          <w:sz w:val="32"/>
          <w:szCs w:val="32"/>
          <w:highlight w:val="none"/>
          <w:lang w:val="en-US" w:eastAsia="zh-CN"/>
        </w:rPr>
        <w:t>元以上</w:t>
      </w:r>
      <w:r>
        <w:rPr>
          <w:rFonts w:hint="eastAsia" w:eastAsia="仿宋_GB2312" w:cs="Times New Roman"/>
          <w:snapToGrid w:val="0"/>
          <w:color w:val="auto"/>
          <w:spacing w:val="2"/>
          <w:kern w:val="0"/>
          <w:sz w:val="32"/>
          <w:szCs w:val="32"/>
          <w:highlight w:val="none"/>
          <w:lang w:val="en-US" w:eastAsia="zh-CN"/>
        </w:rPr>
        <w:t>五万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p>
    <w:p w14:paraId="6F45130B">
      <w:pPr>
        <w:pStyle w:val="2"/>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五十四</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ascii="Times New Roman" w:hAnsi="Times New Roman" w:eastAsia="仿宋_GB2312" w:cs="Times New Roman"/>
          <w:snapToGrid w:val="0"/>
          <w:color w:val="auto"/>
          <w:spacing w:val="2"/>
          <w:kern w:val="0"/>
          <w:sz w:val="32"/>
          <w:szCs w:val="32"/>
          <w:highlight w:val="none"/>
          <w:lang w:val="en-US" w:eastAsia="zh-CN"/>
        </w:rPr>
        <w:t>　</w:t>
      </w:r>
      <w:r>
        <w:rPr>
          <w:rFonts w:hint="eastAsia" w:eastAsia="仿宋_GB2312" w:cs="Times New Roman"/>
          <w:snapToGrid w:val="0"/>
          <w:color w:val="auto"/>
          <w:spacing w:val="2"/>
          <w:kern w:val="0"/>
          <w:sz w:val="32"/>
          <w:szCs w:val="32"/>
          <w:highlight w:val="none"/>
          <w:lang w:val="en-US" w:eastAsia="zh-CN"/>
        </w:rPr>
        <w:t>摩托艇旅游项目经营活动</w:t>
      </w:r>
      <w:r>
        <w:rPr>
          <w:rFonts w:hint="eastAsia" w:ascii="Times New Roman" w:hAnsi="Times New Roman" w:eastAsia="仿宋_GB2312" w:cs="Times New Roman"/>
          <w:snapToGrid w:val="0"/>
          <w:color w:val="auto"/>
          <w:spacing w:val="2"/>
          <w:kern w:val="0"/>
          <w:sz w:val="32"/>
          <w:szCs w:val="32"/>
          <w:highlight w:val="none"/>
          <w:lang w:val="en-US" w:eastAsia="zh-CN"/>
        </w:rPr>
        <w:t>有下列情形之一的，由</w:t>
      </w:r>
      <w:r>
        <w:rPr>
          <w:rFonts w:hint="eastAsia" w:eastAsia="仿宋_GB2312" w:cs="Times New Roman"/>
          <w:snapToGrid w:val="0"/>
          <w:color w:val="auto"/>
          <w:spacing w:val="2"/>
          <w:kern w:val="0"/>
          <w:sz w:val="32"/>
          <w:szCs w:val="32"/>
          <w:highlight w:val="none"/>
          <w:lang w:val="en-US" w:eastAsia="zh-CN"/>
        </w:rPr>
        <w:t>海事管理机构</w:t>
      </w:r>
      <w:r>
        <w:rPr>
          <w:rFonts w:hint="eastAsia" w:ascii="Times New Roman" w:hAnsi="Times New Roman" w:eastAsia="仿宋_GB2312" w:cs="Times New Roman"/>
          <w:snapToGrid w:val="0"/>
          <w:color w:val="auto"/>
          <w:spacing w:val="2"/>
          <w:kern w:val="0"/>
          <w:sz w:val="32"/>
          <w:szCs w:val="32"/>
          <w:highlight w:val="none"/>
          <w:lang w:val="en-US" w:eastAsia="zh-CN"/>
        </w:rPr>
        <w:t>责令改正，对违法</w:t>
      </w:r>
      <w:r>
        <w:rPr>
          <w:rFonts w:hint="eastAsia" w:eastAsia="仿宋_GB2312" w:cs="Times New Roman"/>
          <w:snapToGrid w:val="0"/>
          <w:color w:val="auto"/>
          <w:spacing w:val="2"/>
          <w:kern w:val="0"/>
          <w:sz w:val="32"/>
          <w:szCs w:val="32"/>
          <w:highlight w:val="none"/>
          <w:lang w:val="en-US" w:eastAsia="zh-CN"/>
        </w:rPr>
        <w:t>经营者处二万</w:t>
      </w:r>
      <w:r>
        <w:rPr>
          <w:rFonts w:hint="eastAsia" w:ascii="Times New Roman" w:hAnsi="Times New Roman" w:eastAsia="仿宋_GB2312" w:cs="Times New Roman"/>
          <w:snapToGrid w:val="0"/>
          <w:color w:val="auto"/>
          <w:spacing w:val="2"/>
          <w:kern w:val="0"/>
          <w:sz w:val="32"/>
          <w:szCs w:val="32"/>
          <w:highlight w:val="none"/>
          <w:lang w:val="en-US" w:eastAsia="zh-CN"/>
        </w:rPr>
        <w:t>元以上</w:t>
      </w:r>
      <w:r>
        <w:rPr>
          <w:rFonts w:hint="eastAsia" w:eastAsia="仿宋_GB2312" w:cs="Times New Roman"/>
          <w:snapToGrid w:val="0"/>
          <w:color w:val="auto"/>
          <w:spacing w:val="2"/>
          <w:kern w:val="0"/>
          <w:sz w:val="32"/>
          <w:szCs w:val="32"/>
          <w:highlight w:val="none"/>
          <w:lang w:val="en-US" w:eastAsia="zh-CN"/>
        </w:rPr>
        <w:t>二十万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，对</w:t>
      </w:r>
      <w:r>
        <w:rPr>
          <w:rFonts w:hint="eastAsia" w:eastAsia="仿宋_GB2312" w:cs="Times New Roman"/>
          <w:snapToGrid w:val="0"/>
          <w:color w:val="auto"/>
          <w:spacing w:val="2"/>
          <w:kern w:val="0"/>
          <w:sz w:val="32"/>
          <w:szCs w:val="32"/>
          <w:highlight w:val="none"/>
          <w:lang w:val="en-US" w:eastAsia="zh-CN"/>
        </w:rPr>
        <w:t>驾驶人员</w:t>
      </w:r>
      <w:r>
        <w:rPr>
          <w:rFonts w:hint="eastAsia" w:ascii="Times New Roman" w:hAnsi="Times New Roman" w:eastAsia="仿宋_GB2312" w:cs="Times New Roman"/>
          <w:snapToGrid w:val="0"/>
          <w:color w:val="auto"/>
          <w:spacing w:val="2"/>
          <w:kern w:val="0"/>
          <w:sz w:val="32"/>
          <w:szCs w:val="32"/>
          <w:highlight w:val="none"/>
          <w:lang w:val="en-US" w:eastAsia="zh-CN"/>
        </w:rPr>
        <w:t>处</w:t>
      </w:r>
      <w:r>
        <w:rPr>
          <w:rFonts w:hint="eastAsia" w:eastAsia="仿宋_GB2312" w:cs="Times New Roman"/>
          <w:snapToGrid w:val="0"/>
          <w:color w:val="auto"/>
          <w:spacing w:val="2"/>
          <w:kern w:val="0"/>
          <w:sz w:val="32"/>
          <w:szCs w:val="32"/>
          <w:highlight w:val="none"/>
          <w:lang w:val="en-US" w:eastAsia="zh-CN"/>
        </w:rPr>
        <w:t>两千</w:t>
      </w:r>
      <w:r>
        <w:rPr>
          <w:rFonts w:hint="eastAsia" w:ascii="Times New Roman" w:hAnsi="Times New Roman" w:eastAsia="仿宋_GB2312" w:cs="Times New Roman"/>
          <w:snapToGrid w:val="0"/>
          <w:color w:val="auto"/>
          <w:spacing w:val="2"/>
          <w:kern w:val="0"/>
          <w:sz w:val="32"/>
          <w:szCs w:val="32"/>
          <w:highlight w:val="none"/>
          <w:lang w:val="en-US" w:eastAsia="zh-CN"/>
        </w:rPr>
        <w:t>元以上</w:t>
      </w:r>
      <w:r>
        <w:rPr>
          <w:rFonts w:hint="eastAsia" w:eastAsia="仿宋_GB2312" w:cs="Times New Roman"/>
          <w:snapToGrid w:val="0"/>
          <w:color w:val="auto"/>
          <w:spacing w:val="2"/>
          <w:kern w:val="0"/>
          <w:sz w:val="32"/>
          <w:szCs w:val="32"/>
          <w:highlight w:val="none"/>
          <w:lang w:val="en-US" w:eastAsia="zh-CN"/>
        </w:rPr>
        <w:t>二万</w:t>
      </w:r>
      <w:r>
        <w:rPr>
          <w:rFonts w:hint="eastAsia" w:ascii="Times New Roman" w:hAnsi="Times New Roman" w:eastAsia="仿宋_GB2312" w:cs="Times New Roman"/>
          <w:snapToGrid w:val="0"/>
          <w:color w:val="auto"/>
          <w:spacing w:val="2"/>
          <w:kern w:val="0"/>
          <w:sz w:val="32"/>
          <w:szCs w:val="32"/>
          <w:highlight w:val="none"/>
          <w:lang w:val="en-US" w:eastAsia="zh-CN"/>
        </w:rPr>
        <w:t>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，暂扣</w:t>
      </w:r>
      <w:r>
        <w:rPr>
          <w:rFonts w:hint="eastAsia" w:eastAsia="仿宋_GB2312" w:cs="Times New Roman"/>
          <w:snapToGrid w:val="0"/>
          <w:color w:val="auto"/>
          <w:spacing w:val="2"/>
          <w:kern w:val="0"/>
          <w:sz w:val="32"/>
          <w:szCs w:val="32"/>
          <w:highlight w:val="none"/>
          <w:lang w:val="en-US" w:eastAsia="zh-CN"/>
        </w:rPr>
        <w:t>相关资格证书</w:t>
      </w:r>
      <w:r>
        <w:rPr>
          <w:rFonts w:hint="eastAsia" w:ascii="Times New Roman" w:hAnsi="Times New Roman" w:eastAsia="仿宋_GB2312" w:cs="Times New Roman"/>
          <w:snapToGrid w:val="0"/>
          <w:color w:val="auto"/>
          <w:spacing w:val="2"/>
          <w:kern w:val="0"/>
          <w:sz w:val="32"/>
          <w:szCs w:val="32"/>
          <w:highlight w:val="none"/>
          <w:lang w:val="en-US" w:eastAsia="zh-CN"/>
        </w:rPr>
        <w:t>三个月至十二个月；情节严重的，吊销</w:t>
      </w:r>
      <w:r>
        <w:rPr>
          <w:rFonts w:hint="eastAsia" w:eastAsia="仿宋_GB2312" w:cs="Times New Roman"/>
          <w:snapToGrid w:val="0"/>
          <w:color w:val="auto"/>
          <w:spacing w:val="2"/>
          <w:kern w:val="0"/>
          <w:sz w:val="32"/>
          <w:szCs w:val="32"/>
          <w:highlight w:val="none"/>
          <w:lang w:val="en-US" w:eastAsia="zh-CN"/>
        </w:rPr>
        <w:t>相关资格证书</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68E250A3">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（一）进出港口、锚地或者通过桥区水域、海峡、狭水道、重要渔业水域、通航船舶密集的区域、船舶定线区、交通管制区时，未加强瞭望、保持安全航速并遵守前述区域的特殊航行规则；</w:t>
      </w:r>
    </w:p>
    <w:p w14:paraId="37739F5B">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（二）不符合安全开航条件冒险开航，违章冒险操作、作业，或者未按照船舶检验证书载明的航区航行、停泊、作业；</w:t>
      </w:r>
    </w:p>
    <w:p w14:paraId="33DEF0BE">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（三）穿越航道妨碍航道内船舶的正常航行，抢越他船船艏或者超过桥梁通航尺度进入桥区水域；</w:t>
      </w:r>
    </w:p>
    <w:p w14:paraId="313B47E9">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（四）违反规定进入或者穿越禁航区；</w:t>
      </w:r>
    </w:p>
    <w:p w14:paraId="74C9D168">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（五）在不符合安全条件的码头、泊位、装卸站、锚地、安全作业区停泊，或者停泊危及其他船舶、海上设施的安全；</w:t>
      </w:r>
    </w:p>
    <w:p w14:paraId="240AB6F2">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（六）违反规定超过检验证书核定的载客定额载运乘客；</w:t>
      </w:r>
    </w:p>
    <w:p w14:paraId="6D2176AA">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（七）违反规定载运货物；</w:t>
      </w:r>
    </w:p>
    <w:p w14:paraId="5557B8ED">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（八）未向消费者明示安全须知、设置安全标志和警示；</w:t>
      </w:r>
    </w:p>
    <w:p w14:paraId="16099DCA">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（九）夜间航行；</w:t>
      </w:r>
    </w:p>
    <w:p w14:paraId="3F71E950">
      <w:pPr>
        <w:pStyle w:val="2"/>
        <w:rPr>
          <w:rFonts w:hint="eastAsia" w:eastAsia="仿宋_GB2312" w:cs="Times New Roman"/>
          <w:snapToGrid w:val="0"/>
          <w:color w:val="auto"/>
          <w:spacing w:val="2"/>
          <w:kern w:val="0"/>
          <w:sz w:val="32"/>
          <w:szCs w:val="32"/>
          <w:highlight w:val="none"/>
          <w:lang w:val="en-US" w:eastAsia="zh-CN"/>
        </w:rPr>
      </w:pPr>
      <w:r>
        <w:rPr>
          <w:rFonts w:hint="eastAsia" w:eastAsia="仿宋_GB2312" w:cs="Times New Roman"/>
          <w:snapToGrid w:val="0"/>
          <w:color w:val="auto"/>
          <w:spacing w:val="2"/>
          <w:kern w:val="0"/>
          <w:sz w:val="32"/>
          <w:szCs w:val="32"/>
          <w:highlight w:val="none"/>
          <w:lang w:val="en-US" w:eastAsia="zh-CN"/>
        </w:rPr>
        <w:t>（十）其他违反海上航行、停泊、作业规则的行为。</w:t>
      </w:r>
    </w:p>
    <w:p w14:paraId="02D0F74E">
      <w:pPr>
        <w:pStyle w:val="2"/>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五十五</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　</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辖区外</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航行</w:t>
      </w:r>
      <w:r>
        <w:rPr>
          <w:rFonts w:hint="eastAsia" w:eastAsia="仿宋_GB2312" w:cs="Times New Roman"/>
          <w:i w:val="0"/>
          <w:iCs w:val="0"/>
          <w:caps w:val="0"/>
          <w:snapToGrid w:val="0"/>
          <w:color w:val="auto"/>
          <w:spacing w:val="2"/>
          <w:kern w:val="0"/>
          <w:sz w:val="32"/>
          <w:szCs w:val="32"/>
          <w:highlight w:val="none"/>
          <w:shd w:val="clear"/>
          <w:lang w:val="en-US" w:eastAsia="zh-CN"/>
        </w:rPr>
        <w:t>摩托艇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进出港口未依法向</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报告的，由</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对违法船舶的</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经营者</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val="en-US" w:eastAsia="zh-CN"/>
        </w:rPr>
        <w:t>三千</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val="en-US" w:eastAsia="zh-CN"/>
        </w:rPr>
        <w:t>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相关</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责任人员处</w:t>
      </w:r>
      <w:r>
        <w:rPr>
          <w:rFonts w:hint="eastAsia" w:eastAsia="仿宋_GB2312" w:cs="Times New Roman"/>
          <w:i w:val="0"/>
          <w:iCs w:val="0"/>
          <w:caps w:val="0"/>
          <w:snapToGrid w:val="0"/>
          <w:color w:val="auto"/>
          <w:spacing w:val="2"/>
          <w:kern w:val="0"/>
          <w:sz w:val="32"/>
          <w:szCs w:val="32"/>
          <w:highlight w:val="none"/>
          <w:shd w:val="clear"/>
          <w:lang w:val="en-US" w:eastAsia="zh-CN"/>
        </w:rPr>
        <w:t>五百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val="en-US" w:eastAsia="zh-CN"/>
        </w:rPr>
        <w:t>五千元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w:t>
      </w:r>
    </w:p>
    <w:p w14:paraId="132D7500">
      <w:pPr>
        <w:pStyle w:val="2"/>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第</w:t>
      </w:r>
      <w:r>
        <w:rPr>
          <w:rFonts w:hint="eastAsia" w:eastAsia="仿宋_GB2312" w:cs="Times New Roman"/>
          <w:b/>
          <w:bCs/>
          <w:i w:val="0"/>
          <w:iCs w:val="0"/>
          <w:caps w:val="0"/>
          <w:snapToGrid w:val="0"/>
          <w:color w:val="auto"/>
          <w:spacing w:val="2"/>
          <w:kern w:val="0"/>
          <w:sz w:val="32"/>
          <w:szCs w:val="32"/>
          <w:highlight w:val="none"/>
          <w:shd w:val="clear"/>
          <w:lang w:val="en-US" w:eastAsia="zh-CN"/>
        </w:rPr>
        <w:t>五十六</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条</w:t>
      </w:r>
      <w:r>
        <w:rPr>
          <w:rFonts w:hint="eastAsia" w:eastAsia="仿宋_GB2312" w:cs="Times New Roman"/>
          <w:i w:val="0"/>
          <w:iCs w:val="0"/>
          <w:caps w:val="0"/>
          <w:snapToGrid w:val="0"/>
          <w:color w:val="auto"/>
          <w:spacing w:val="2"/>
          <w:kern w:val="0"/>
          <w:sz w:val="32"/>
          <w:szCs w:val="32"/>
          <w:highlight w:val="none"/>
          <w:shd w:val="clear"/>
          <w:lang w:eastAsia="zh-CN"/>
        </w:rPr>
        <w:t xml:space="preserve"> </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未经许可</w:t>
      </w:r>
      <w:r>
        <w:rPr>
          <w:rFonts w:hint="eastAsia" w:eastAsia="仿宋_GB2312" w:cs="Times New Roman"/>
          <w:i w:val="0"/>
          <w:iCs w:val="0"/>
          <w:caps w:val="0"/>
          <w:snapToGrid w:val="0"/>
          <w:color w:val="auto"/>
          <w:spacing w:val="2"/>
          <w:kern w:val="0"/>
          <w:sz w:val="32"/>
          <w:szCs w:val="32"/>
          <w:highlight w:val="none"/>
          <w:shd w:val="clear"/>
          <w:lang w:val="en-US" w:eastAsia="zh-CN"/>
        </w:rPr>
        <w:t>开展</w:t>
      </w:r>
      <w:r>
        <w:rPr>
          <w:rFonts w:hint="eastAsia" w:eastAsia="仿宋_GB2312" w:cs="Times New Roman"/>
          <w:snapToGrid w:val="0"/>
          <w:color w:val="auto"/>
          <w:spacing w:val="2"/>
          <w:kern w:val="0"/>
          <w:sz w:val="32"/>
          <w:szCs w:val="32"/>
          <w:highlight w:val="none"/>
          <w:lang w:val="en-US" w:eastAsia="zh-CN"/>
        </w:rPr>
        <w:t>摩托艇</w:t>
      </w:r>
      <w:r>
        <w:rPr>
          <w:rFonts w:hint="eastAsia" w:ascii="Times New Roman" w:hAnsi="Times New Roman" w:eastAsia="仿宋_GB2312" w:cs="Times New Roman"/>
          <w:snapToGrid w:val="0"/>
          <w:color w:val="auto"/>
          <w:spacing w:val="2"/>
          <w:kern w:val="0"/>
          <w:sz w:val="32"/>
          <w:szCs w:val="32"/>
          <w:highlight w:val="none"/>
          <w:lang w:val="en-US" w:eastAsia="zh-CN"/>
        </w:rPr>
        <w:t>经营项目</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，或者超出</w:t>
      </w:r>
      <w:r>
        <w:rPr>
          <w:rFonts w:hint="eastAsia" w:eastAsia="仿宋_GB2312" w:cs="Times New Roman"/>
          <w:snapToGrid w:val="0"/>
          <w:color w:val="auto"/>
          <w:spacing w:val="2"/>
          <w:kern w:val="0"/>
          <w:sz w:val="32"/>
          <w:szCs w:val="32"/>
          <w:highlight w:val="none"/>
          <w:lang w:val="en-US" w:eastAsia="zh-CN"/>
        </w:rPr>
        <w:t>规定</w:t>
      </w:r>
      <w:r>
        <w:rPr>
          <w:rFonts w:hint="eastAsia" w:ascii="Times New Roman" w:hAnsi="Times New Roman" w:eastAsia="仿宋_GB2312" w:cs="Times New Roman"/>
          <w:snapToGrid w:val="0"/>
          <w:color w:val="auto"/>
          <w:spacing w:val="2"/>
          <w:kern w:val="0"/>
          <w:sz w:val="32"/>
          <w:szCs w:val="32"/>
          <w:highlight w:val="none"/>
          <w:lang w:val="en-US" w:eastAsia="zh-CN"/>
        </w:rPr>
        <w:t>范围内航行</w:t>
      </w:r>
      <w:r>
        <w:rPr>
          <w:rFonts w:hint="eastAsia" w:eastAsia="仿宋_GB2312" w:cs="Times New Roman"/>
          <w:snapToGrid w:val="0"/>
          <w:color w:val="auto"/>
          <w:spacing w:val="2"/>
          <w:kern w:val="0"/>
          <w:sz w:val="32"/>
          <w:szCs w:val="32"/>
          <w:highlight w:val="none"/>
          <w:lang w:val="en-US" w:eastAsia="zh-CN"/>
        </w:rPr>
        <w:t>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，由</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责令改正，对违法船舶的</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经营者</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val="en-US" w:eastAsia="zh-CN"/>
        </w:rPr>
        <w:t>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万元以上</w:t>
      </w:r>
      <w:r>
        <w:rPr>
          <w:rFonts w:hint="eastAsia" w:eastAsia="仿宋_GB2312" w:cs="Times New Roman"/>
          <w:i w:val="0"/>
          <w:iCs w:val="0"/>
          <w:caps w:val="0"/>
          <w:snapToGrid w:val="0"/>
          <w:color w:val="auto"/>
          <w:spacing w:val="2"/>
          <w:kern w:val="0"/>
          <w:sz w:val="32"/>
          <w:szCs w:val="32"/>
          <w:highlight w:val="none"/>
          <w:shd w:val="clear"/>
          <w:lang w:val="en-US" w:eastAsia="zh-CN"/>
        </w:rPr>
        <w:t>三十</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相关责任人员</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val="en-US" w:eastAsia="zh-CN"/>
        </w:rPr>
        <w:t>三千</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val="en-US" w:eastAsia="zh-CN"/>
        </w:rPr>
        <w:t>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，或者</w:t>
      </w:r>
      <w:r>
        <w:rPr>
          <w:rFonts w:hint="eastAsia" w:ascii="Times New Roman" w:hAnsi="Times New Roman" w:eastAsia="仿宋_GB2312" w:cs="Times New Roman"/>
          <w:snapToGrid w:val="0"/>
          <w:color w:val="auto"/>
          <w:spacing w:val="2"/>
          <w:kern w:val="0"/>
          <w:sz w:val="32"/>
          <w:szCs w:val="32"/>
          <w:highlight w:val="none"/>
          <w:lang w:val="en-US" w:eastAsia="zh-CN"/>
        </w:rPr>
        <w:t>暂扣</w:t>
      </w:r>
      <w:r>
        <w:rPr>
          <w:rFonts w:hint="eastAsia" w:eastAsia="仿宋_GB2312" w:cs="Times New Roman"/>
          <w:snapToGrid w:val="0"/>
          <w:color w:val="auto"/>
          <w:spacing w:val="2"/>
          <w:kern w:val="0"/>
          <w:sz w:val="32"/>
          <w:szCs w:val="32"/>
          <w:highlight w:val="none"/>
          <w:lang w:val="en-US" w:eastAsia="zh-CN"/>
        </w:rPr>
        <w:t>相关资格证书六</w:t>
      </w:r>
      <w:r>
        <w:rPr>
          <w:rFonts w:hint="eastAsia" w:ascii="Times New Roman" w:hAnsi="Times New Roman" w:eastAsia="仿宋_GB2312" w:cs="Times New Roman"/>
          <w:snapToGrid w:val="0"/>
          <w:color w:val="auto"/>
          <w:spacing w:val="2"/>
          <w:kern w:val="0"/>
          <w:sz w:val="32"/>
          <w:szCs w:val="32"/>
          <w:highlight w:val="none"/>
          <w:lang w:val="en-US" w:eastAsia="zh-CN"/>
        </w:rPr>
        <w:t>个月至十二个月；情节严重的，吊销</w:t>
      </w:r>
      <w:r>
        <w:rPr>
          <w:rFonts w:hint="eastAsia" w:eastAsia="仿宋_GB2312" w:cs="Times New Roman"/>
          <w:snapToGrid w:val="0"/>
          <w:color w:val="auto"/>
          <w:spacing w:val="2"/>
          <w:kern w:val="0"/>
          <w:sz w:val="32"/>
          <w:szCs w:val="32"/>
          <w:highlight w:val="none"/>
          <w:lang w:val="en-US" w:eastAsia="zh-CN"/>
        </w:rPr>
        <w:t>相关资格证书。</w:t>
      </w:r>
    </w:p>
    <w:p w14:paraId="7D1A1D1A">
      <w:pPr>
        <w:pStyle w:val="2"/>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eastAsia="仿宋_GB2312" w:cs="Times New Roman"/>
          <w:snapToGrid w:val="0"/>
          <w:color w:val="auto"/>
          <w:spacing w:val="2"/>
          <w:kern w:val="0"/>
          <w:sz w:val="32"/>
          <w:szCs w:val="32"/>
          <w:highlight w:val="none"/>
          <w:lang w:val="en-US" w:eastAsia="zh-CN"/>
        </w:rPr>
        <w:t>摩托艇进出港口，</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未按规定提前报告</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的，由</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对违法船舶</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经营者</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val="en-US" w:eastAsia="zh-CN"/>
        </w:rPr>
        <w:t>一</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万元以上</w:t>
      </w:r>
      <w:r>
        <w:rPr>
          <w:rFonts w:hint="eastAsia" w:eastAsia="仿宋_GB2312" w:cs="Times New Roman"/>
          <w:i w:val="0"/>
          <w:iCs w:val="0"/>
          <w:caps w:val="0"/>
          <w:snapToGrid w:val="0"/>
          <w:color w:val="auto"/>
          <w:spacing w:val="2"/>
          <w:kern w:val="0"/>
          <w:sz w:val="32"/>
          <w:szCs w:val="32"/>
          <w:highlight w:val="none"/>
          <w:shd w:val="clear"/>
          <w:lang w:val="en-US" w:eastAsia="zh-CN"/>
        </w:rPr>
        <w:t>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w:t>
      </w:r>
      <w:r>
        <w:rPr>
          <w:rFonts w:hint="eastAsia" w:ascii="Times New Roman" w:hAnsi="Times New Roman" w:eastAsia="仿宋_GB2312" w:cs="Times New Roman"/>
          <w:i w:val="0"/>
          <w:iCs w:val="0"/>
          <w:caps w:val="0"/>
          <w:snapToGrid w:val="0"/>
          <w:color w:val="auto"/>
          <w:spacing w:val="2"/>
          <w:kern w:val="0"/>
          <w:sz w:val="32"/>
          <w:szCs w:val="32"/>
          <w:highlight w:val="none"/>
          <w:shd w:val="clear"/>
          <w:lang w:val="en-US" w:eastAsia="zh-CN"/>
        </w:rPr>
        <w:t>相关责任人员</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eastAsia="zh-CN"/>
        </w:rPr>
        <w:t>两千</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eastAsia="zh-CN"/>
        </w:rPr>
        <w:t>二万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w:t>
      </w:r>
    </w:p>
    <w:p w14:paraId="21A368AF">
      <w:pPr>
        <w:pStyle w:val="2"/>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第</w:t>
      </w:r>
      <w:r>
        <w:rPr>
          <w:rFonts w:hint="eastAsia" w:eastAsia="仿宋_GB2312" w:cs="Times New Roman"/>
          <w:b/>
          <w:bCs/>
          <w:i w:val="0"/>
          <w:iCs w:val="0"/>
          <w:caps w:val="0"/>
          <w:snapToGrid w:val="0"/>
          <w:color w:val="auto"/>
          <w:spacing w:val="2"/>
          <w:kern w:val="0"/>
          <w:sz w:val="32"/>
          <w:szCs w:val="32"/>
          <w:highlight w:val="none"/>
          <w:shd w:val="clear"/>
          <w:lang w:val="en-US" w:eastAsia="zh-CN"/>
        </w:rPr>
        <w:t>五十七</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条</w:t>
      </w:r>
      <w:r>
        <w:rPr>
          <w:rFonts w:hint="eastAsia" w:eastAsia="仿宋_GB2312" w:cs="Times New Roman"/>
          <w:i w:val="0"/>
          <w:iCs w:val="0"/>
          <w:caps w:val="0"/>
          <w:snapToGrid w:val="0"/>
          <w:color w:val="auto"/>
          <w:spacing w:val="2"/>
          <w:kern w:val="0"/>
          <w:sz w:val="32"/>
          <w:szCs w:val="32"/>
          <w:highlight w:val="none"/>
          <w:shd w:val="clear"/>
          <w:lang w:eastAsia="zh-CN"/>
        </w:rPr>
        <w:t xml:space="preserve"> </w:t>
      </w:r>
      <w:r>
        <w:rPr>
          <w:rFonts w:hint="eastAsia" w:eastAsia="仿宋_GB2312" w:cs="Times New Roman"/>
          <w:i w:val="0"/>
          <w:iCs w:val="0"/>
          <w:caps w:val="0"/>
          <w:snapToGrid w:val="0"/>
          <w:color w:val="auto"/>
          <w:spacing w:val="2"/>
          <w:kern w:val="0"/>
          <w:sz w:val="32"/>
          <w:szCs w:val="32"/>
          <w:highlight w:val="none"/>
          <w:shd w:val="clear"/>
          <w:lang w:val="en-US" w:eastAsia="zh-CN"/>
        </w:rPr>
        <w:t>摩托艇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遇险或者发生海上交通事故后未履行报告义务，存在瞒报、谎报情形的，由</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对违法</w:t>
      </w:r>
      <w:r>
        <w:rPr>
          <w:rFonts w:hint="eastAsia" w:eastAsia="仿宋_GB2312" w:cs="Times New Roman"/>
          <w:i w:val="0"/>
          <w:iCs w:val="0"/>
          <w:caps w:val="0"/>
          <w:snapToGrid w:val="0"/>
          <w:color w:val="auto"/>
          <w:spacing w:val="2"/>
          <w:kern w:val="0"/>
          <w:sz w:val="32"/>
          <w:szCs w:val="32"/>
          <w:highlight w:val="none"/>
          <w:shd w:val="clear"/>
          <w:lang w:val="en-US" w:eastAsia="zh-CN"/>
        </w:rPr>
        <w:t>经营者</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val="en-US" w:eastAsia="zh-CN"/>
        </w:rPr>
        <w:t>三千</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val="en-US" w:eastAsia="zh-CN"/>
        </w:rPr>
        <w:t>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w:t>
      </w:r>
      <w:r>
        <w:rPr>
          <w:rFonts w:hint="eastAsia" w:eastAsia="仿宋_GB2312" w:cs="Times New Roman"/>
          <w:i w:val="0"/>
          <w:iCs w:val="0"/>
          <w:caps w:val="0"/>
          <w:snapToGrid w:val="0"/>
          <w:color w:val="auto"/>
          <w:spacing w:val="2"/>
          <w:kern w:val="0"/>
          <w:sz w:val="32"/>
          <w:szCs w:val="32"/>
          <w:highlight w:val="none"/>
          <w:shd w:val="clear"/>
          <w:lang w:val="en-US" w:eastAsia="zh-CN"/>
        </w:rPr>
        <w:t>相关责任人</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员处</w:t>
      </w:r>
      <w:r>
        <w:rPr>
          <w:rFonts w:hint="eastAsia" w:eastAsia="仿宋_GB2312" w:cs="Times New Roman"/>
          <w:i w:val="0"/>
          <w:iCs w:val="0"/>
          <w:caps w:val="0"/>
          <w:snapToGrid w:val="0"/>
          <w:color w:val="auto"/>
          <w:spacing w:val="2"/>
          <w:kern w:val="0"/>
          <w:sz w:val="32"/>
          <w:szCs w:val="32"/>
          <w:highlight w:val="none"/>
          <w:shd w:val="clear"/>
          <w:lang w:eastAsia="zh-CN"/>
        </w:rPr>
        <w:t>两千</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eastAsia="zh-CN"/>
        </w:rPr>
        <w:t>二万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，暂扣</w:t>
      </w:r>
      <w:r>
        <w:rPr>
          <w:rFonts w:hint="eastAsia" w:eastAsia="仿宋_GB2312" w:cs="Times New Roman"/>
          <w:i w:val="0"/>
          <w:iCs w:val="0"/>
          <w:caps w:val="0"/>
          <w:snapToGrid w:val="0"/>
          <w:color w:val="auto"/>
          <w:spacing w:val="2"/>
          <w:kern w:val="0"/>
          <w:sz w:val="32"/>
          <w:szCs w:val="32"/>
          <w:highlight w:val="none"/>
          <w:shd w:val="clear"/>
          <w:lang w:val="en-US" w:eastAsia="zh-CN"/>
        </w:rPr>
        <w:t>相关资格证书</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六个月至二十四个月；情节严重的，对违法</w:t>
      </w:r>
      <w:r>
        <w:rPr>
          <w:rFonts w:hint="eastAsia" w:eastAsia="仿宋_GB2312" w:cs="Times New Roman"/>
          <w:i w:val="0"/>
          <w:iCs w:val="0"/>
          <w:caps w:val="0"/>
          <w:snapToGrid w:val="0"/>
          <w:color w:val="auto"/>
          <w:spacing w:val="2"/>
          <w:kern w:val="0"/>
          <w:sz w:val="32"/>
          <w:szCs w:val="32"/>
          <w:highlight w:val="none"/>
          <w:shd w:val="clear"/>
          <w:lang w:val="en-US" w:eastAsia="zh-CN"/>
        </w:rPr>
        <w:t>经营者</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val="en-US" w:eastAsia="zh-CN"/>
        </w:rPr>
        <w:t>一</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万元以上</w:t>
      </w:r>
      <w:r>
        <w:rPr>
          <w:rFonts w:hint="eastAsia" w:eastAsia="仿宋_GB2312" w:cs="Times New Roman"/>
          <w:i w:val="0"/>
          <w:iCs w:val="0"/>
          <w:caps w:val="0"/>
          <w:snapToGrid w:val="0"/>
          <w:color w:val="auto"/>
          <w:spacing w:val="2"/>
          <w:kern w:val="0"/>
          <w:sz w:val="32"/>
          <w:szCs w:val="32"/>
          <w:highlight w:val="none"/>
          <w:shd w:val="clear"/>
          <w:lang w:eastAsia="zh-CN"/>
        </w:rPr>
        <w:t>十万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w:t>
      </w:r>
      <w:r>
        <w:rPr>
          <w:rFonts w:hint="eastAsia" w:ascii="Times New Roman" w:hAnsi="Times New Roman" w:eastAsia="仿宋_GB2312" w:cs="Times New Roman"/>
          <w:snapToGrid w:val="0"/>
          <w:color w:val="auto"/>
          <w:spacing w:val="2"/>
          <w:kern w:val="0"/>
          <w:sz w:val="32"/>
          <w:szCs w:val="32"/>
          <w:highlight w:val="none"/>
          <w:lang w:val="en-US" w:eastAsia="zh-CN"/>
        </w:rPr>
        <w:t>吊销</w:t>
      </w:r>
      <w:r>
        <w:rPr>
          <w:rFonts w:hint="eastAsia" w:eastAsia="仿宋_GB2312" w:cs="Times New Roman"/>
          <w:snapToGrid w:val="0"/>
          <w:color w:val="auto"/>
          <w:spacing w:val="2"/>
          <w:kern w:val="0"/>
          <w:sz w:val="32"/>
          <w:szCs w:val="32"/>
          <w:highlight w:val="none"/>
          <w:lang w:val="en-US" w:eastAsia="zh-CN"/>
        </w:rPr>
        <w:t>相关资格证书</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w:t>
      </w:r>
    </w:p>
    <w:p w14:paraId="6C15DE90">
      <w:pPr>
        <w:pStyle w:val="2"/>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第</w:t>
      </w:r>
      <w:r>
        <w:rPr>
          <w:rFonts w:hint="eastAsia" w:eastAsia="仿宋_GB2312" w:cs="Times New Roman"/>
          <w:b/>
          <w:bCs/>
          <w:i w:val="0"/>
          <w:iCs w:val="0"/>
          <w:caps w:val="0"/>
          <w:snapToGrid w:val="0"/>
          <w:color w:val="auto"/>
          <w:spacing w:val="2"/>
          <w:kern w:val="0"/>
          <w:sz w:val="32"/>
          <w:szCs w:val="32"/>
          <w:highlight w:val="none"/>
          <w:shd w:val="clear"/>
          <w:lang w:val="en-US" w:eastAsia="zh-CN"/>
        </w:rPr>
        <w:t>五十八</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条</w:t>
      </w:r>
      <w:r>
        <w:rPr>
          <w:rFonts w:hint="eastAsia" w:eastAsia="仿宋_GB2312" w:cs="Times New Roman"/>
          <w:i w:val="0"/>
          <w:iCs w:val="0"/>
          <w:caps w:val="0"/>
          <w:snapToGrid w:val="0"/>
          <w:color w:val="auto"/>
          <w:spacing w:val="2"/>
          <w:kern w:val="0"/>
          <w:sz w:val="32"/>
          <w:szCs w:val="32"/>
          <w:highlight w:val="none"/>
          <w:shd w:val="clear"/>
          <w:lang w:eastAsia="zh-CN"/>
        </w:rPr>
        <w:t xml:space="preserve"> </w:t>
      </w:r>
      <w:r>
        <w:rPr>
          <w:rFonts w:hint="eastAsia" w:eastAsia="仿宋_GB2312" w:cs="Times New Roman"/>
          <w:i w:val="0"/>
          <w:iCs w:val="0"/>
          <w:caps w:val="0"/>
          <w:snapToGrid w:val="0"/>
          <w:color w:val="auto"/>
          <w:spacing w:val="2"/>
          <w:kern w:val="0"/>
          <w:sz w:val="32"/>
          <w:szCs w:val="32"/>
          <w:highlight w:val="none"/>
          <w:shd w:val="clear"/>
          <w:lang w:val="en-US" w:eastAsia="zh-CN"/>
        </w:rPr>
        <w:t>摩托艇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发生海上交通事故后逃逸的，由</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对违法船舶</w:t>
      </w:r>
      <w:r>
        <w:rPr>
          <w:rFonts w:hint="eastAsia" w:eastAsia="仿宋_GB2312" w:cs="Times New Roman"/>
          <w:i w:val="0"/>
          <w:iCs w:val="0"/>
          <w:caps w:val="0"/>
          <w:snapToGrid w:val="0"/>
          <w:color w:val="auto"/>
          <w:spacing w:val="2"/>
          <w:kern w:val="0"/>
          <w:sz w:val="32"/>
          <w:szCs w:val="32"/>
          <w:highlight w:val="none"/>
          <w:shd w:val="clear"/>
          <w:lang w:val="en-US" w:eastAsia="zh-CN"/>
        </w:rPr>
        <w:t>经营者</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eastAsia="zh-CN"/>
        </w:rPr>
        <w:t>十万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val="en-US" w:eastAsia="zh-CN"/>
        </w:rPr>
        <w:t>五十</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w:t>
      </w:r>
      <w:r>
        <w:rPr>
          <w:rFonts w:hint="eastAsia" w:eastAsia="仿宋_GB2312" w:cs="Times New Roman"/>
          <w:i w:val="0"/>
          <w:iCs w:val="0"/>
          <w:caps w:val="0"/>
          <w:snapToGrid w:val="0"/>
          <w:color w:val="auto"/>
          <w:spacing w:val="2"/>
          <w:kern w:val="0"/>
          <w:sz w:val="32"/>
          <w:szCs w:val="32"/>
          <w:highlight w:val="none"/>
          <w:shd w:val="clear"/>
          <w:lang w:val="en-US" w:eastAsia="zh-CN"/>
        </w:rPr>
        <w:t>相关责任人</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员处</w:t>
      </w:r>
      <w:r>
        <w:rPr>
          <w:rFonts w:hint="eastAsia" w:eastAsia="仿宋_GB2312" w:cs="Times New Roman"/>
          <w:i w:val="0"/>
          <w:iCs w:val="0"/>
          <w:caps w:val="0"/>
          <w:snapToGrid w:val="0"/>
          <w:color w:val="auto"/>
          <w:spacing w:val="2"/>
          <w:kern w:val="0"/>
          <w:sz w:val="32"/>
          <w:szCs w:val="32"/>
          <w:highlight w:val="none"/>
          <w:shd w:val="clear"/>
          <w:lang w:eastAsia="zh-CN"/>
        </w:rPr>
        <w:t>五千元</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以上</w:t>
      </w:r>
      <w:r>
        <w:rPr>
          <w:rFonts w:hint="eastAsia" w:eastAsia="仿宋_GB2312" w:cs="Times New Roman"/>
          <w:i w:val="0"/>
          <w:iCs w:val="0"/>
          <w:caps w:val="0"/>
          <w:snapToGrid w:val="0"/>
          <w:color w:val="auto"/>
          <w:spacing w:val="2"/>
          <w:kern w:val="0"/>
          <w:sz w:val="32"/>
          <w:szCs w:val="32"/>
          <w:highlight w:val="none"/>
          <w:shd w:val="clear"/>
          <w:lang w:eastAsia="zh-CN"/>
        </w:rPr>
        <w:t>五万元以下的罚款，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并</w:t>
      </w:r>
      <w:r>
        <w:rPr>
          <w:rFonts w:hint="eastAsia" w:ascii="Times New Roman" w:hAnsi="Times New Roman" w:eastAsia="仿宋_GB2312" w:cs="Times New Roman"/>
          <w:snapToGrid w:val="0"/>
          <w:color w:val="auto"/>
          <w:spacing w:val="2"/>
          <w:kern w:val="0"/>
          <w:sz w:val="32"/>
          <w:szCs w:val="32"/>
          <w:highlight w:val="none"/>
          <w:lang w:val="en-US" w:eastAsia="zh-CN"/>
        </w:rPr>
        <w:t>吊销</w:t>
      </w:r>
      <w:r>
        <w:rPr>
          <w:rFonts w:hint="eastAsia" w:eastAsia="仿宋_GB2312" w:cs="Times New Roman"/>
          <w:snapToGrid w:val="0"/>
          <w:color w:val="auto"/>
          <w:spacing w:val="2"/>
          <w:kern w:val="0"/>
          <w:sz w:val="32"/>
          <w:szCs w:val="32"/>
          <w:highlight w:val="none"/>
          <w:lang w:val="en-US" w:eastAsia="zh-CN"/>
        </w:rPr>
        <w:t>相关资格证书</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，受处罚者终身不得重新申请。</w:t>
      </w:r>
    </w:p>
    <w:p w14:paraId="088114D6">
      <w:pPr>
        <w:pStyle w:val="2"/>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第</w:t>
      </w:r>
      <w:r>
        <w:rPr>
          <w:rFonts w:hint="eastAsia" w:eastAsia="仿宋_GB2312" w:cs="Times New Roman"/>
          <w:b/>
          <w:bCs/>
          <w:i w:val="0"/>
          <w:iCs w:val="0"/>
          <w:caps w:val="0"/>
          <w:snapToGrid w:val="0"/>
          <w:color w:val="auto"/>
          <w:spacing w:val="2"/>
          <w:kern w:val="0"/>
          <w:sz w:val="32"/>
          <w:szCs w:val="32"/>
          <w:highlight w:val="none"/>
          <w:shd w:val="clear"/>
          <w:lang w:val="en-US" w:eastAsia="zh-CN"/>
        </w:rPr>
        <w:t>五十九</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条</w:t>
      </w:r>
      <w:r>
        <w:rPr>
          <w:rFonts w:hint="eastAsia" w:eastAsia="仿宋_GB2312" w:cs="Times New Roman"/>
          <w:i w:val="0"/>
          <w:iCs w:val="0"/>
          <w:caps w:val="0"/>
          <w:snapToGrid w:val="0"/>
          <w:color w:val="auto"/>
          <w:spacing w:val="2"/>
          <w:kern w:val="0"/>
          <w:sz w:val="32"/>
          <w:szCs w:val="32"/>
          <w:highlight w:val="none"/>
          <w:shd w:val="clear"/>
          <w:lang w:eastAsia="zh-CN"/>
        </w:rPr>
        <w:t xml:space="preserve"> </w:t>
      </w:r>
      <w:r>
        <w:rPr>
          <w:rFonts w:hint="eastAsia" w:eastAsia="仿宋_GB2312" w:cs="Times New Roman"/>
          <w:i w:val="0"/>
          <w:iCs w:val="0"/>
          <w:caps w:val="0"/>
          <w:snapToGrid w:val="0"/>
          <w:color w:val="auto"/>
          <w:spacing w:val="2"/>
          <w:kern w:val="0"/>
          <w:sz w:val="32"/>
          <w:szCs w:val="32"/>
          <w:highlight w:val="none"/>
          <w:shd w:val="clear"/>
          <w:lang w:val="en-US" w:eastAsia="zh-CN"/>
        </w:rPr>
        <w:t>摩托艇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不依法履行海上救助义务，不服从</w:t>
      </w:r>
      <w:r>
        <w:rPr>
          <w:rFonts w:hint="eastAsia" w:eastAsia="仿宋_GB2312" w:cs="Times New Roman"/>
          <w:i w:val="0"/>
          <w:iCs w:val="0"/>
          <w:caps w:val="0"/>
          <w:snapToGrid w:val="0"/>
          <w:color w:val="auto"/>
          <w:spacing w:val="2"/>
          <w:kern w:val="0"/>
          <w:sz w:val="32"/>
          <w:szCs w:val="32"/>
          <w:highlight w:val="none"/>
          <w:shd w:val="clear"/>
          <w:lang w:val="en-US" w:eastAsia="zh-CN"/>
        </w:rPr>
        <w:t>三亚</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海上搜救</w:t>
      </w:r>
      <w:r>
        <w:rPr>
          <w:rFonts w:hint="eastAsia" w:eastAsia="仿宋_GB2312" w:cs="Times New Roman"/>
          <w:i w:val="0"/>
          <w:iCs w:val="0"/>
          <w:caps w:val="0"/>
          <w:snapToGrid w:val="0"/>
          <w:color w:val="auto"/>
          <w:spacing w:val="2"/>
          <w:kern w:val="0"/>
          <w:sz w:val="32"/>
          <w:szCs w:val="32"/>
          <w:highlight w:val="none"/>
          <w:shd w:val="clear"/>
          <w:lang w:val="en-US" w:eastAsia="zh-CN"/>
        </w:rPr>
        <w:t>分</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中心指挥的，由</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对船舶</w:t>
      </w:r>
      <w:r>
        <w:rPr>
          <w:rFonts w:hint="eastAsia" w:eastAsia="仿宋_GB2312" w:cs="Times New Roman"/>
          <w:i w:val="0"/>
          <w:iCs w:val="0"/>
          <w:caps w:val="0"/>
          <w:snapToGrid w:val="0"/>
          <w:color w:val="auto"/>
          <w:spacing w:val="2"/>
          <w:kern w:val="0"/>
          <w:sz w:val="32"/>
          <w:szCs w:val="32"/>
          <w:highlight w:val="none"/>
          <w:shd w:val="clear"/>
          <w:lang w:val="en-US" w:eastAsia="zh-CN"/>
        </w:rPr>
        <w:t>所有人</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val="en-US" w:eastAsia="zh-CN"/>
        </w:rPr>
        <w:t>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万元以上</w:t>
      </w:r>
      <w:r>
        <w:rPr>
          <w:rFonts w:hint="eastAsia" w:eastAsia="仿宋_GB2312" w:cs="Times New Roman"/>
          <w:i w:val="0"/>
          <w:iCs w:val="0"/>
          <w:caps w:val="0"/>
          <w:snapToGrid w:val="0"/>
          <w:color w:val="auto"/>
          <w:spacing w:val="2"/>
          <w:kern w:val="0"/>
          <w:sz w:val="32"/>
          <w:szCs w:val="32"/>
          <w:highlight w:val="none"/>
          <w:shd w:val="clear"/>
          <w:lang w:val="en-US" w:eastAsia="zh-CN"/>
        </w:rPr>
        <w:t>三十</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万元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，暂扣</w:t>
      </w:r>
      <w:r>
        <w:rPr>
          <w:rFonts w:hint="eastAsia" w:eastAsia="仿宋_GB2312" w:cs="Times New Roman"/>
          <w:i w:val="0"/>
          <w:iCs w:val="0"/>
          <w:caps w:val="0"/>
          <w:snapToGrid w:val="0"/>
          <w:color w:val="auto"/>
          <w:spacing w:val="2"/>
          <w:kern w:val="0"/>
          <w:sz w:val="32"/>
          <w:szCs w:val="32"/>
          <w:highlight w:val="none"/>
          <w:shd w:val="clear"/>
          <w:lang w:val="en-US" w:eastAsia="zh-CN"/>
        </w:rPr>
        <w:t>相关资格证书</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六个月至十二个月，直至吊销</w:t>
      </w:r>
      <w:r>
        <w:rPr>
          <w:rFonts w:hint="eastAsia" w:eastAsia="仿宋_GB2312" w:cs="Times New Roman"/>
          <w:i w:val="0"/>
          <w:iCs w:val="0"/>
          <w:caps w:val="0"/>
          <w:snapToGrid w:val="0"/>
          <w:color w:val="auto"/>
          <w:spacing w:val="2"/>
          <w:kern w:val="0"/>
          <w:sz w:val="32"/>
          <w:szCs w:val="32"/>
          <w:highlight w:val="none"/>
          <w:shd w:val="clear"/>
          <w:lang w:val="en-US" w:eastAsia="zh-CN"/>
        </w:rPr>
        <w:t>相关资格证书</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w:t>
      </w:r>
    </w:p>
    <w:p w14:paraId="039F6718">
      <w:pPr>
        <w:pStyle w:val="2"/>
        <w:keepNext w:val="0"/>
        <w:keepLines w:val="0"/>
        <w:widowControl/>
        <w:suppressLineNumbers w:val="0"/>
        <w:pBdr>
          <w:top w:val="none" w:color="auto" w:sz="0" w:space="0"/>
          <w:left w:val="none" w:color="auto" w:sz="0" w:space="0"/>
          <w:right w:val="none" w:color="auto" w:sz="0" w:space="0"/>
        </w:pBdr>
        <w:shd w:val="clear" w:fill="FFFFFF"/>
        <w:spacing w:before="113" w:beforeAutospacing="0" w:after="0" w:afterAutospacing="0"/>
        <w:ind w:left="0" w:right="0"/>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第</w:t>
      </w:r>
      <w:r>
        <w:rPr>
          <w:rFonts w:hint="eastAsia" w:eastAsia="仿宋_GB2312" w:cs="Times New Roman"/>
          <w:b/>
          <w:bCs/>
          <w:i w:val="0"/>
          <w:iCs w:val="0"/>
          <w:caps w:val="0"/>
          <w:snapToGrid w:val="0"/>
          <w:color w:val="auto"/>
          <w:spacing w:val="2"/>
          <w:kern w:val="0"/>
          <w:sz w:val="32"/>
          <w:szCs w:val="32"/>
          <w:highlight w:val="none"/>
          <w:shd w:val="clear"/>
          <w:lang w:val="en-US" w:eastAsia="zh-CN"/>
        </w:rPr>
        <w:t>六十</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条</w:t>
      </w:r>
      <w:r>
        <w:rPr>
          <w:rFonts w:hint="eastAsia" w:eastAsia="仿宋_GB2312" w:cs="Times New Roman"/>
          <w:i w:val="0"/>
          <w:iCs w:val="0"/>
          <w:caps w:val="0"/>
          <w:snapToGrid w:val="0"/>
          <w:color w:val="auto"/>
          <w:spacing w:val="2"/>
          <w:kern w:val="0"/>
          <w:sz w:val="32"/>
          <w:szCs w:val="32"/>
          <w:highlight w:val="none"/>
          <w:shd w:val="clear"/>
          <w:lang w:eastAsia="zh-CN"/>
        </w:rPr>
        <w:t xml:space="preserve"> </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有关单位、个人拒绝、阻碍</w:t>
      </w:r>
      <w:r>
        <w:rPr>
          <w:rFonts w:hint="eastAsia" w:eastAsia="仿宋_GB2312" w:cs="Times New Roman"/>
          <w:i w:val="0"/>
          <w:iCs w:val="0"/>
          <w:caps w:val="0"/>
          <w:snapToGrid w:val="0"/>
          <w:color w:val="auto"/>
          <w:spacing w:val="2"/>
          <w:kern w:val="0"/>
          <w:sz w:val="32"/>
          <w:szCs w:val="32"/>
          <w:highlight w:val="none"/>
          <w:shd w:val="clear"/>
          <w:lang w:eastAsia="zh-CN"/>
        </w:rPr>
        <w:t>海事管理机构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监督检查，或者在接受监督检查时弄虚作假的，由</w:t>
      </w:r>
      <w:r>
        <w:rPr>
          <w:rFonts w:hint="eastAsia" w:eastAsia="仿宋_GB2312" w:cs="Times New Roman"/>
          <w:snapToGrid w:val="0"/>
          <w:color w:val="auto"/>
          <w:spacing w:val="2"/>
          <w:kern w:val="0"/>
          <w:sz w:val="32"/>
          <w:szCs w:val="32"/>
          <w:highlight w:val="none"/>
          <w:lang w:val="en-US" w:eastAsia="zh-CN"/>
        </w:rPr>
        <w:t>综合行政执法部门</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处</w:t>
      </w:r>
      <w:r>
        <w:rPr>
          <w:rFonts w:hint="eastAsia" w:eastAsia="仿宋_GB2312" w:cs="Times New Roman"/>
          <w:i w:val="0"/>
          <w:iCs w:val="0"/>
          <w:caps w:val="0"/>
          <w:snapToGrid w:val="0"/>
          <w:color w:val="auto"/>
          <w:spacing w:val="2"/>
          <w:kern w:val="0"/>
          <w:sz w:val="32"/>
          <w:szCs w:val="32"/>
          <w:highlight w:val="none"/>
          <w:shd w:val="clear"/>
          <w:lang w:eastAsia="zh-CN"/>
        </w:rPr>
        <w:t>两千</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元以上</w:t>
      </w:r>
      <w:r>
        <w:rPr>
          <w:rFonts w:hint="eastAsia" w:eastAsia="仿宋_GB2312" w:cs="Times New Roman"/>
          <w:i w:val="0"/>
          <w:iCs w:val="0"/>
          <w:caps w:val="0"/>
          <w:snapToGrid w:val="0"/>
          <w:color w:val="auto"/>
          <w:spacing w:val="2"/>
          <w:kern w:val="0"/>
          <w:sz w:val="32"/>
          <w:szCs w:val="32"/>
          <w:highlight w:val="none"/>
          <w:shd w:val="clear"/>
          <w:lang w:val="en-US" w:eastAsia="zh-CN"/>
        </w:rPr>
        <w:t>二万</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元</w:t>
      </w:r>
      <w:r>
        <w:rPr>
          <w:rFonts w:hint="eastAsia" w:eastAsia="仿宋_GB2312" w:cs="Times New Roman"/>
          <w:i w:val="0"/>
          <w:iCs w:val="0"/>
          <w:caps w:val="0"/>
          <w:snapToGrid w:val="0"/>
          <w:color w:val="auto"/>
          <w:spacing w:val="2"/>
          <w:kern w:val="0"/>
          <w:sz w:val="32"/>
          <w:szCs w:val="32"/>
          <w:highlight w:val="none"/>
          <w:shd w:val="clear"/>
          <w:lang w:eastAsia="zh-CN"/>
        </w:rPr>
        <w:t>以下的罚款</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，暂扣</w:t>
      </w:r>
      <w:r>
        <w:rPr>
          <w:rFonts w:hint="eastAsia" w:eastAsia="仿宋_GB2312" w:cs="Times New Roman"/>
          <w:i w:val="0"/>
          <w:iCs w:val="0"/>
          <w:caps w:val="0"/>
          <w:snapToGrid w:val="0"/>
          <w:color w:val="auto"/>
          <w:spacing w:val="2"/>
          <w:kern w:val="0"/>
          <w:sz w:val="32"/>
          <w:szCs w:val="32"/>
          <w:highlight w:val="none"/>
          <w:shd w:val="clear"/>
          <w:lang w:val="en-US" w:eastAsia="zh-CN"/>
        </w:rPr>
        <w:t>相关资格证书</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六个月至十二个月，直至吊销</w:t>
      </w:r>
      <w:r>
        <w:rPr>
          <w:rFonts w:hint="eastAsia" w:eastAsia="仿宋_GB2312" w:cs="Times New Roman"/>
          <w:i w:val="0"/>
          <w:iCs w:val="0"/>
          <w:caps w:val="0"/>
          <w:snapToGrid w:val="0"/>
          <w:color w:val="auto"/>
          <w:spacing w:val="2"/>
          <w:kern w:val="0"/>
          <w:sz w:val="32"/>
          <w:szCs w:val="32"/>
          <w:highlight w:val="none"/>
          <w:shd w:val="clear"/>
          <w:lang w:val="en-US" w:eastAsia="zh-CN"/>
        </w:rPr>
        <w:t>相关资格证书</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w:t>
      </w:r>
    </w:p>
    <w:p w14:paraId="16B26B04">
      <w:pPr>
        <w:pStyle w:val="2"/>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六十一</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snapToGrid w:val="0"/>
          <w:color w:val="auto"/>
          <w:spacing w:val="2"/>
          <w:kern w:val="0"/>
          <w:sz w:val="32"/>
          <w:szCs w:val="32"/>
          <w:highlight w:val="none"/>
          <w:lang w:val="en-US" w:eastAsia="zh-CN"/>
        </w:rPr>
        <w:t xml:space="preserve"> </w:t>
      </w:r>
      <w:r>
        <w:rPr>
          <w:rFonts w:hint="eastAsia" w:eastAsia="仿宋_GB2312" w:cs="Times New Roman"/>
          <w:i w:val="0"/>
          <w:iCs w:val="0"/>
          <w:caps w:val="0"/>
          <w:snapToGrid w:val="0"/>
          <w:color w:val="auto"/>
          <w:spacing w:val="2"/>
          <w:kern w:val="0"/>
          <w:sz w:val="32"/>
          <w:szCs w:val="32"/>
          <w:highlight w:val="none"/>
          <w:shd w:val="clear"/>
          <w:lang w:val="en-US" w:eastAsia="zh-CN"/>
        </w:rPr>
        <w:t>摩托艇旅游项目经营</w:t>
      </w:r>
      <w:r>
        <w:rPr>
          <w:rFonts w:hint="eastAsia" w:eastAsia="仿宋_GB2312" w:cs="Times New Roman"/>
          <w:snapToGrid w:val="0"/>
          <w:color w:val="auto"/>
          <w:spacing w:val="2"/>
          <w:kern w:val="0"/>
          <w:sz w:val="32"/>
          <w:szCs w:val="32"/>
          <w:highlight w:val="none"/>
          <w:lang w:val="en-US" w:eastAsia="zh-CN"/>
        </w:rPr>
        <w:t>活动</w:t>
      </w:r>
      <w:r>
        <w:rPr>
          <w:rFonts w:hint="eastAsia" w:ascii="Times New Roman" w:hAnsi="Times New Roman" w:eastAsia="仿宋_GB2312" w:cs="Times New Roman"/>
          <w:snapToGrid w:val="0"/>
          <w:color w:val="auto"/>
          <w:spacing w:val="2"/>
          <w:kern w:val="0"/>
          <w:sz w:val="32"/>
          <w:szCs w:val="32"/>
          <w:highlight w:val="none"/>
          <w:lang w:val="en-US" w:eastAsia="zh-CN"/>
        </w:rPr>
        <w:t>造成珊瑚礁等海洋生态系统或者自然保护地破坏的，由生态环境部门责令改正、采取补救措施，处每平方米一千元以上一万元</w:t>
      </w:r>
      <w:r>
        <w:rPr>
          <w:rFonts w:hint="eastAsia" w:eastAsia="仿宋_GB2312" w:cs="Times New Roman"/>
          <w:snapToGrid w:val="0"/>
          <w:color w:val="auto"/>
          <w:spacing w:val="2"/>
          <w:kern w:val="0"/>
          <w:sz w:val="32"/>
          <w:szCs w:val="32"/>
          <w:highlight w:val="none"/>
          <w:lang w:val="en-US" w:eastAsia="zh-CN"/>
        </w:rPr>
        <w:t>以下的罚款</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3D2B527B">
      <w:pPr>
        <w:pStyle w:val="2"/>
        <w:keepNext w:val="0"/>
        <w:keepLines w:val="0"/>
        <w:widowControl/>
        <w:suppressLineNumbers w:val="0"/>
        <w:pBdr>
          <w:top w:val="none" w:color="auto" w:sz="0" w:space="0"/>
          <w:left w:val="none" w:color="auto" w:sz="0" w:space="0"/>
          <w:right w:val="none" w:color="auto" w:sz="0" w:space="0"/>
        </w:pBdr>
        <w:shd w:val="clear" w:fill="FFFFFF"/>
        <w:spacing w:before="113" w:beforeAutospacing="0" w:after="0" w:afterAutospacing="0"/>
        <w:ind w:left="0" w:right="0"/>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第</w:t>
      </w:r>
      <w:r>
        <w:rPr>
          <w:rFonts w:hint="eastAsia" w:eastAsia="仿宋_GB2312" w:cs="Times New Roman"/>
          <w:b/>
          <w:bCs/>
          <w:i w:val="0"/>
          <w:iCs w:val="0"/>
          <w:caps w:val="0"/>
          <w:snapToGrid w:val="0"/>
          <w:color w:val="auto"/>
          <w:spacing w:val="2"/>
          <w:kern w:val="0"/>
          <w:sz w:val="32"/>
          <w:szCs w:val="32"/>
          <w:highlight w:val="none"/>
          <w:shd w:val="clear"/>
          <w:lang w:val="en-US" w:eastAsia="zh-CN"/>
        </w:rPr>
        <w:t>六十二</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条</w:t>
      </w:r>
      <w:r>
        <w:rPr>
          <w:rFonts w:hint="eastAsia" w:eastAsia="仿宋_GB2312" w:cs="Times New Roman"/>
          <w:i w:val="0"/>
          <w:iCs w:val="0"/>
          <w:caps w:val="0"/>
          <w:snapToGrid w:val="0"/>
          <w:color w:val="auto"/>
          <w:spacing w:val="2"/>
          <w:kern w:val="0"/>
          <w:sz w:val="32"/>
          <w:szCs w:val="32"/>
          <w:highlight w:val="none"/>
          <w:shd w:val="clear"/>
          <w:lang w:val="en-US" w:eastAsia="zh-CN"/>
        </w:rPr>
        <w:t xml:space="preserve"> </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因海上交通事故引发民事纠纷的，当事人可以尝试通过和解的方式解决</w:t>
      </w:r>
      <w:r>
        <w:rPr>
          <w:rFonts w:hint="eastAsia" w:eastAsia="仿宋_GB2312" w:cs="Times New Roman"/>
          <w:i w:val="0"/>
          <w:iCs w:val="0"/>
          <w:caps w:val="0"/>
          <w:snapToGrid w:val="0"/>
          <w:color w:val="auto"/>
          <w:spacing w:val="2"/>
          <w:kern w:val="0"/>
          <w:sz w:val="32"/>
          <w:szCs w:val="32"/>
          <w:highlight w:val="none"/>
          <w:shd w:val="clear"/>
          <w:lang w:eastAsia="zh-CN"/>
        </w:rPr>
        <w:t>；若和解</w:t>
      </w:r>
      <w:r>
        <w:rPr>
          <w:rFonts w:hint="eastAsia" w:eastAsia="仿宋_GB2312" w:cs="Times New Roman"/>
          <w:i w:val="0"/>
          <w:iCs w:val="0"/>
          <w:caps w:val="0"/>
          <w:snapToGrid w:val="0"/>
          <w:color w:val="auto"/>
          <w:spacing w:val="2"/>
          <w:kern w:val="0"/>
          <w:sz w:val="32"/>
          <w:szCs w:val="32"/>
          <w:highlight w:val="none"/>
          <w:shd w:val="clear"/>
          <w:lang w:val="en-US" w:eastAsia="zh-CN"/>
        </w:rPr>
        <w:t>不成，可以</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依法申请调解</w:t>
      </w:r>
      <w:r>
        <w:rPr>
          <w:rFonts w:hint="eastAsia" w:eastAsia="仿宋_GB2312" w:cs="Times New Roman"/>
          <w:i w:val="0"/>
          <w:iCs w:val="0"/>
          <w:caps w:val="0"/>
          <w:snapToGrid w:val="0"/>
          <w:color w:val="auto"/>
          <w:spacing w:val="2"/>
          <w:kern w:val="0"/>
          <w:sz w:val="32"/>
          <w:szCs w:val="32"/>
          <w:highlight w:val="none"/>
          <w:shd w:val="clear"/>
          <w:lang w:eastAsia="zh-CN"/>
        </w:rPr>
        <w:t>、</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仲裁或者向人民法院提起诉讼。</w:t>
      </w:r>
    </w:p>
    <w:p w14:paraId="569D5530">
      <w:pPr>
        <w:pStyle w:val="2"/>
        <w:keepNext w:val="0"/>
        <w:keepLines w:val="0"/>
        <w:widowControl/>
        <w:suppressLineNumbers w:val="0"/>
        <w:pBdr>
          <w:top w:val="none" w:color="auto" w:sz="0" w:space="0"/>
          <w:left w:val="none" w:color="auto" w:sz="0" w:space="0"/>
          <w:right w:val="none" w:color="auto" w:sz="0" w:space="0"/>
        </w:pBdr>
        <w:shd w:val="clear" w:fill="FFFFFF"/>
        <w:spacing w:before="113" w:beforeAutospacing="0" w:after="0" w:afterAutospacing="0"/>
        <w:ind w:left="0" w:right="0"/>
        <w:rPr>
          <w:rFonts w:hint="eastAsia" w:ascii="Times New Roman" w:hAnsi="Times New Roman" w:eastAsia="仿宋_GB2312" w:cs="Times New Roman"/>
          <w:i w:val="0"/>
          <w:iCs w:val="0"/>
          <w:caps w:val="0"/>
          <w:snapToGrid w:val="0"/>
          <w:color w:val="auto"/>
          <w:spacing w:val="2"/>
          <w:kern w:val="0"/>
          <w:sz w:val="32"/>
          <w:szCs w:val="32"/>
          <w:highlight w:val="none"/>
        </w:rPr>
      </w:pP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第</w:t>
      </w:r>
      <w:r>
        <w:rPr>
          <w:rFonts w:hint="eastAsia" w:eastAsia="仿宋_GB2312" w:cs="Times New Roman"/>
          <w:b/>
          <w:bCs/>
          <w:i w:val="0"/>
          <w:iCs w:val="0"/>
          <w:caps w:val="0"/>
          <w:snapToGrid w:val="0"/>
          <w:color w:val="auto"/>
          <w:spacing w:val="2"/>
          <w:kern w:val="0"/>
          <w:sz w:val="32"/>
          <w:szCs w:val="32"/>
          <w:highlight w:val="none"/>
          <w:shd w:val="clear"/>
          <w:lang w:val="en-US" w:eastAsia="zh-CN"/>
        </w:rPr>
        <w:t>六十三</w:t>
      </w:r>
      <w:r>
        <w:rPr>
          <w:rFonts w:hint="eastAsia" w:ascii="Times New Roman" w:hAnsi="Times New Roman" w:eastAsia="仿宋_GB2312" w:cs="Times New Roman"/>
          <w:b/>
          <w:bCs/>
          <w:i w:val="0"/>
          <w:iCs w:val="0"/>
          <w:caps w:val="0"/>
          <w:snapToGrid w:val="0"/>
          <w:color w:val="auto"/>
          <w:spacing w:val="2"/>
          <w:kern w:val="0"/>
          <w:sz w:val="32"/>
          <w:szCs w:val="32"/>
          <w:highlight w:val="none"/>
          <w:shd w:val="clear"/>
        </w:rPr>
        <w:t>条</w:t>
      </w:r>
      <w:r>
        <w:rPr>
          <w:rFonts w:hint="eastAsia" w:eastAsia="仿宋_GB2312" w:cs="Times New Roman"/>
          <w:b/>
          <w:bCs/>
          <w:i w:val="0"/>
          <w:iCs w:val="0"/>
          <w:caps w:val="0"/>
          <w:snapToGrid w:val="0"/>
          <w:color w:val="auto"/>
          <w:spacing w:val="2"/>
          <w:kern w:val="0"/>
          <w:sz w:val="32"/>
          <w:szCs w:val="32"/>
          <w:highlight w:val="none"/>
          <w:shd w:val="clear"/>
          <w:lang w:eastAsia="zh-CN"/>
        </w:rPr>
        <w:t xml:space="preserve"> </w:t>
      </w:r>
      <w:r>
        <w:rPr>
          <w:rFonts w:hint="eastAsia" w:eastAsia="仿宋_GB2312" w:cs="Times New Roman"/>
          <w:i w:val="0"/>
          <w:iCs w:val="0"/>
          <w:caps w:val="0"/>
          <w:snapToGrid w:val="0"/>
          <w:color w:val="auto"/>
          <w:spacing w:val="2"/>
          <w:kern w:val="0"/>
          <w:sz w:val="32"/>
          <w:szCs w:val="32"/>
          <w:highlight w:val="none"/>
          <w:shd w:val="clear"/>
          <w:lang w:val="en-US" w:eastAsia="zh-CN"/>
        </w:rPr>
        <w:t>摩托艇旅游项目经营</w:t>
      </w:r>
      <w:r>
        <w:rPr>
          <w:rFonts w:hint="eastAsia" w:eastAsia="仿宋_GB2312" w:cs="Times New Roman"/>
          <w:snapToGrid w:val="0"/>
          <w:color w:val="auto"/>
          <w:spacing w:val="2"/>
          <w:kern w:val="0"/>
          <w:sz w:val="32"/>
          <w:szCs w:val="32"/>
          <w:highlight w:val="none"/>
          <w:lang w:val="en-US" w:eastAsia="zh-CN"/>
        </w:rPr>
        <w:t>活动有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违反治安管理</w:t>
      </w:r>
      <w:r>
        <w:rPr>
          <w:rFonts w:hint="eastAsia" w:eastAsia="仿宋_GB2312" w:cs="Times New Roman"/>
          <w:i w:val="0"/>
          <w:iCs w:val="0"/>
          <w:caps w:val="0"/>
          <w:snapToGrid w:val="0"/>
          <w:color w:val="auto"/>
          <w:spacing w:val="2"/>
          <w:kern w:val="0"/>
          <w:sz w:val="32"/>
          <w:szCs w:val="32"/>
          <w:highlight w:val="none"/>
          <w:shd w:val="clear"/>
          <w:lang w:val="en-US" w:eastAsia="zh-CN"/>
        </w:rPr>
        <w:t>规定</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行为的，由</w:t>
      </w:r>
      <w:r>
        <w:rPr>
          <w:rFonts w:hint="eastAsia" w:eastAsia="仿宋_GB2312" w:cs="Times New Roman"/>
          <w:i w:val="0"/>
          <w:iCs w:val="0"/>
          <w:caps w:val="0"/>
          <w:snapToGrid w:val="0"/>
          <w:color w:val="auto"/>
          <w:spacing w:val="2"/>
          <w:kern w:val="0"/>
          <w:sz w:val="32"/>
          <w:szCs w:val="32"/>
          <w:highlight w:val="none"/>
          <w:shd w:val="clear"/>
          <w:lang w:val="en-US" w:eastAsia="zh-CN"/>
        </w:rPr>
        <w:t>公安</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部门依法给予治安管理处罚；造成人身、财产损害的，依法承担民事责任；构成犯罪的，依法追究刑事责任。</w:t>
      </w:r>
    </w:p>
    <w:p w14:paraId="669E6E00">
      <w:pPr>
        <w:keepNext w:val="0"/>
        <w:keepLines w:val="0"/>
        <w:pageBreakBefore w:val="0"/>
        <w:wordWrap/>
        <w:overflowPunct/>
        <w:topLinePunct w:val="0"/>
        <w:bidi w:val="0"/>
        <w:spacing w:line="578" w:lineRule="exact"/>
        <w:rPr>
          <w:rFonts w:hint="default" w:ascii="Times New Roman" w:hAnsi="Times New Roman" w:eastAsia="仿宋_GB2312" w:cs="Times New Roman"/>
          <w:snapToGrid w:val="0"/>
          <w:color w:val="auto"/>
          <w:spacing w:val="2"/>
          <w:kern w:val="0"/>
          <w:sz w:val="32"/>
          <w:szCs w:val="32"/>
          <w:highlight w:val="none"/>
          <w:lang w:val="en-US" w:eastAsia="zh-CN"/>
        </w:rPr>
      </w:pPr>
      <w:r>
        <w:rPr>
          <w:rFonts w:hint="eastAsia" w:eastAsia="仿宋_GB2312" w:cs="Times New Roman"/>
          <w:b/>
          <w:bCs/>
          <w:snapToGrid w:val="0"/>
          <w:color w:val="auto"/>
          <w:spacing w:val="2"/>
          <w:kern w:val="0"/>
          <w:sz w:val="32"/>
          <w:szCs w:val="32"/>
          <w:highlight w:val="none"/>
          <w:lang w:val="en-US" w:eastAsia="zh-CN"/>
        </w:rPr>
        <w:t>第六十四条</w:t>
      </w:r>
      <w:r>
        <w:rPr>
          <w:rFonts w:hint="eastAsia" w:eastAsia="仿宋_GB2312" w:cs="Times New Roman"/>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危害军事设施</w:t>
      </w:r>
      <w:r>
        <w:rPr>
          <w:rFonts w:hint="eastAsia" w:eastAsia="仿宋_GB2312" w:cs="Times New Roman"/>
          <w:snapToGrid w:val="0"/>
          <w:color w:val="auto"/>
          <w:spacing w:val="2"/>
          <w:kern w:val="0"/>
          <w:sz w:val="32"/>
          <w:szCs w:val="32"/>
          <w:highlight w:val="none"/>
          <w:lang w:val="en-US" w:eastAsia="zh-CN"/>
        </w:rPr>
        <w:t>，</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 擅自进入军事禁区或对军事设施摄影、测绘的，</w:t>
      </w:r>
      <w:r>
        <w:rPr>
          <w:rFonts w:hint="eastAsia" w:ascii="Times New Roman" w:hAnsi="Times New Roman" w:eastAsia="仿宋_GB2312" w:cs="Times New Roman"/>
          <w:i w:val="0"/>
          <w:iCs w:val="0"/>
          <w:caps w:val="0"/>
          <w:snapToGrid w:val="0"/>
          <w:color w:val="auto"/>
          <w:spacing w:val="2"/>
          <w:kern w:val="0"/>
          <w:sz w:val="32"/>
          <w:szCs w:val="32"/>
          <w:highlight w:val="none"/>
          <w:shd w:val="clear"/>
        </w:rPr>
        <w:t>由</w:t>
      </w:r>
      <w:r>
        <w:rPr>
          <w:rFonts w:hint="eastAsia" w:eastAsia="仿宋_GB2312" w:cs="Times New Roman"/>
          <w:i w:val="0"/>
          <w:iCs w:val="0"/>
          <w:caps w:val="0"/>
          <w:snapToGrid w:val="0"/>
          <w:color w:val="auto"/>
          <w:spacing w:val="2"/>
          <w:kern w:val="0"/>
          <w:sz w:val="32"/>
          <w:szCs w:val="32"/>
          <w:highlight w:val="none"/>
          <w:shd w:val="clear"/>
          <w:lang w:val="en-US" w:eastAsia="zh-CN"/>
        </w:rPr>
        <w:t>公安机关</w:t>
      </w:r>
      <w:r>
        <w:rPr>
          <w:rFonts w:hint="eastAsia" w:ascii="Times New Roman" w:hAnsi="Times New Roman" w:eastAsia="仿宋_GB2312" w:cs="Times New Roman"/>
          <w:snapToGrid w:val="0"/>
          <w:color w:val="auto"/>
          <w:spacing w:val="2"/>
          <w:kern w:val="0"/>
          <w:sz w:val="32"/>
          <w:szCs w:val="32"/>
          <w:highlight w:val="none"/>
          <w:lang w:val="en-US" w:eastAsia="zh-CN"/>
        </w:rPr>
        <w:t>依据《中华人民共和国军事设施保护法》进行处罚。危害军事设施，擅自进入军事禁区或对军事设施摄影、测绘的，由军事设施管理单位的执勤人员依据《中华人民共和国军事设施保护法》采取警告、 驱逐离开。</w:t>
      </w:r>
    </w:p>
    <w:p w14:paraId="090FD20D">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对涉嫌扰乱军事禁区秩序的，由公安机关依据《中华人民共和国治安管理处罚法》有关规定依法处罚</w:t>
      </w:r>
      <w:r>
        <w:rPr>
          <w:rFonts w:hint="eastAsia" w:eastAsia="仿宋_GB2312" w:cs="Times New Roman"/>
          <w:snapToGrid w:val="0"/>
          <w:color w:val="auto"/>
          <w:spacing w:val="2"/>
          <w:kern w:val="0"/>
          <w:sz w:val="32"/>
          <w:szCs w:val="32"/>
          <w:highlight w:val="none"/>
          <w:lang w:val="en-US" w:eastAsia="zh-CN"/>
        </w:rPr>
        <w:t>；</w:t>
      </w:r>
      <w:r>
        <w:rPr>
          <w:rFonts w:hint="eastAsia" w:ascii="Times New Roman" w:hAnsi="Times New Roman" w:eastAsia="仿宋_GB2312" w:cs="Times New Roman"/>
          <w:snapToGrid w:val="0"/>
          <w:color w:val="auto"/>
          <w:spacing w:val="2"/>
          <w:kern w:val="0"/>
          <w:sz w:val="32"/>
          <w:szCs w:val="32"/>
          <w:highlight w:val="none"/>
          <w:lang w:val="en-US" w:eastAsia="zh-CN"/>
        </w:rPr>
        <w:t>构成破坏军事通信设施、非法获取国家秘密、非法侵入军事禁区等犯罪行为的，由公安机关依据《中华人民共和国刑法》依法追究刑事责任。</w:t>
      </w:r>
    </w:p>
    <w:p w14:paraId="75AC1A9E">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六十五</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 有关部门的工作人员违反本</w:t>
      </w:r>
      <w:r>
        <w:rPr>
          <w:rFonts w:hint="eastAsia" w:eastAsia="仿宋_GB2312" w:cs="Times New Roman"/>
          <w:snapToGrid w:val="0"/>
          <w:color w:val="auto"/>
          <w:spacing w:val="2"/>
          <w:kern w:val="0"/>
          <w:sz w:val="32"/>
          <w:szCs w:val="32"/>
          <w:highlight w:val="none"/>
          <w:lang w:val="en-US" w:eastAsia="zh-CN"/>
        </w:rPr>
        <w:t>办</w:t>
      </w:r>
      <w:r>
        <w:rPr>
          <w:rFonts w:hint="eastAsia" w:ascii="Times New Roman" w:hAnsi="Times New Roman" w:eastAsia="仿宋_GB2312" w:cs="Times New Roman"/>
          <w:snapToGrid w:val="0"/>
          <w:color w:val="auto"/>
          <w:spacing w:val="2"/>
          <w:kern w:val="0"/>
          <w:sz w:val="32"/>
          <w:szCs w:val="32"/>
          <w:highlight w:val="none"/>
          <w:lang w:val="en-US" w:eastAsia="zh-CN"/>
        </w:rPr>
        <w:t>法规定，滥用职权、玩忽职守、徇私舞弊，构成犯罪的，依法追究刑事责任；尚不构成犯罪的，给予处分或者由监察机关依法给予处分。</w:t>
      </w:r>
    </w:p>
    <w:p w14:paraId="7AF59657">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六十六</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ascii="Times New Roman" w:hAnsi="Times New Roman" w:eastAsia="仿宋_GB2312" w:cs="Times New Roman"/>
          <w:snapToGrid w:val="0"/>
          <w:color w:val="auto"/>
          <w:spacing w:val="2"/>
          <w:kern w:val="0"/>
          <w:sz w:val="32"/>
          <w:szCs w:val="32"/>
          <w:highlight w:val="none"/>
          <w:lang w:val="en-US" w:eastAsia="zh-CN"/>
        </w:rPr>
        <w:t xml:space="preserve"> 本办法涉及的行政许可和行政处罚，已经实施相对集中行政审批和综合行政执法管理的，从其规定。</w:t>
      </w:r>
    </w:p>
    <w:p w14:paraId="180A284F">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snapToGrid w:val="0"/>
          <w:color w:val="auto"/>
          <w:spacing w:val="2"/>
          <w:kern w:val="0"/>
          <w:sz w:val="32"/>
          <w:szCs w:val="32"/>
          <w:highlight w:val="none"/>
          <w:lang w:val="en-US" w:eastAsia="zh-CN"/>
        </w:rPr>
        <w:t>违反本办法的行为，本办法未设定处罚，相关法律法规另有处罚规定的，从其规定。</w:t>
      </w:r>
    </w:p>
    <w:p w14:paraId="60498EE0">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p>
    <w:p w14:paraId="5F49E40F">
      <w:pPr>
        <w:widowControl/>
        <w:kinsoku w:val="0"/>
        <w:autoSpaceDE w:val="0"/>
        <w:autoSpaceDN w:val="0"/>
        <w:adjustRightInd w:val="0"/>
        <w:snapToGrid w:val="0"/>
        <w:spacing w:before="104" w:line="578" w:lineRule="exact"/>
        <w:ind w:firstLine="0" w:firstLineChars="0"/>
        <w:jc w:val="center"/>
        <w:textAlignment w:val="baseline"/>
        <w:outlineLvl w:val="0"/>
        <w:rPr>
          <w:rFonts w:hint="eastAsia" w:eastAsia="仿宋_GB2312" w:cs="Times New Roman"/>
          <w:snapToGrid w:val="0"/>
          <w:color w:val="auto"/>
          <w:spacing w:val="2"/>
          <w:kern w:val="0"/>
          <w:sz w:val="32"/>
          <w:szCs w:val="32"/>
          <w:highlight w:val="none"/>
          <w:lang w:val="en-US" w:eastAsia="zh-CN"/>
        </w:rPr>
      </w:pPr>
      <w:r>
        <w:rPr>
          <w:rFonts w:hint="eastAsia" w:ascii="Times New Roman" w:hAnsi="Times New Roman" w:eastAsia="黑体" w:cs="Times New Roman"/>
          <w:b w:val="0"/>
          <w:bCs w:val="0"/>
          <w:snapToGrid w:val="0"/>
          <w:color w:val="auto"/>
          <w:spacing w:val="57"/>
          <w:kern w:val="0"/>
          <w:sz w:val="32"/>
          <w:szCs w:val="32"/>
          <w:highlight w:val="none"/>
          <w:lang w:val="en-US" w:eastAsia="zh-CN"/>
        </w:rPr>
        <w:t>第</w:t>
      </w:r>
      <w:r>
        <w:rPr>
          <w:rFonts w:hint="eastAsia" w:eastAsia="黑体" w:cs="Times New Roman"/>
          <w:b w:val="0"/>
          <w:bCs w:val="0"/>
          <w:snapToGrid w:val="0"/>
          <w:color w:val="auto"/>
          <w:spacing w:val="57"/>
          <w:kern w:val="0"/>
          <w:sz w:val="32"/>
          <w:szCs w:val="32"/>
          <w:highlight w:val="none"/>
          <w:lang w:val="en-US" w:eastAsia="zh-CN"/>
        </w:rPr>
        <w:t>五</w:t>
      </w:r>
      <w:r>
        <w:rPr>
          <w:rFonts w:hint="eastAsia" w:ascii="Times New Roman" w:hAnsi="Times New Roman" w:eastAsia="黑体" w:cs="Times New Roman"/>
          <w:b w:val="0"/>
          <w:bCs w:val="0"/>
          <w:snapToGrid w:val="0"/>
          <w:color w:val="auto"/>
          <w:spacing w:val="57"/>
          <w:kern w:val="0"/>
          <w:sz w:val="32"/>
          <w:szCs w:val="32"/>
          <w:highlight w:val="none"/>
          <w:lang w:val="en-US" w:eastAsia="zh-CN"/>
        </w:rPr>
        <w:t>章 附则</w:t>
      </w:r>
    </w:p>
    <w:p w14:paraId="69A38802">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六十七</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b/>
          <w:bCs/>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本办法由</w:t>
      </w:r>
      <w:r>
        <w:rPr>
          <w:rFonts w:hint="eastAsia" w:eastAsia="仿宋_GB2312" w:cs="Times New Roman"/>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负责解释。</w:t>
      </w:r>
    </w:p>
    <w:p w14:paraId="484A1D3B">
      <w:pPr>
        <w:keepNext w:val="0"/>
        <w:keepLines w:val="0"/>
        <w:pageBreakBefore w:val="0"/>
        <w:wordWrap/>
        <w:overflowPunct/>
        <w:topLinePunct w:val="0"/>
        <w:bidi w:val="0"/>
        <w:spacing w:line="578" w:lineRule="exact"/>
        <w:rPr>
          <w:rFonts w:hint="eastAsia" w:ascii="Times New Roman" w:hAnsi="Times New Roman" w:eastAsia="仿宋_GB2312" w:cs="Times New Roman"/>
          <w:snapToGrid w:val="0"/>
          <w:color w:val="auto"/>
          <w:spacing w:val="2"/>
          <w:kern w:val="0"/>
          <w:sz w:val="32"/>
          <w:szCs w:val="32"/>
          <w:highlight w:val="none"/>
          <w:lang w:val="en-US" w:eastAsia="zh-CN"/>
        </w:rPr>
      </w:pPr>
      <w:r>
        <w:rPr>
          <w:rFonts w:hint="eastAsia" w:ascii="Times New Roman" w:hAnsi="Times New Roman" w:eastAsia="仿宋_GB2312" w:cs="Times New Roman"/>
          <w:b/>
          <w:bCs/>
          <w:snapToGrid w:val="0"/>
          <w:color w:val="auto"/>
          <w:spacing w:val="2"/>
          <w:kern w:val="0"/>
          <w:sz w:val="32"/>
          <w:szCs w:val="32"/>
          <w:highlight w:val="none"/>
          <w:lang w:val="en-US" w:eastAsia="zh-CN"/>
        </w:rPr>
        <w:t>第</w:t>
      </w:r>
      <w:r>
        <w:rPr>
          <w:rFonts w:hint="eastAsia" w:eastAsia="仿宋_GB2312" w:cs="Times New Roman"/>
          <w:b/>
          <w:bCs/>
          <w:snapToGrid w:val="0"/>
          <w:color w:val="auto"/>
          <w:spacing w:val="2"/>
          <w:kern w:val="0"/>
          <w:sz w:val="32"/>
          <w:szCs w:val="32"/>
          <w:highlight w:val="none"/>
          <w:lang w:val="en-US" w:eastAsia="zh-CN"/>
        </w:rPr>
        <w:t>六十八</w:t>
      </w:r>
      <w:r>
        <w:rPr>
          <w:rFonts w:hint="eastAsia" w:ascii="Times New Roman" w:hAnsi="Times New Roman" w:eastAsia="仿宋_GB2312" w:cs="Times New Roman"/>
          <w:b/>
          <w:bCs/>
          <w:snapToGrid w:val="0"/>
          <w:color w:val="auto"/>
          <w:spacing w:val="2"/>
          <w:kern w:val="0"/>
          <w:sz w:val="32"/>
          <w:szCs w:val="32"/>
          <w:highlight w:val="none"/>
          <w:lang w:val="en-US" w:eastAsia="zh-CN"/>
        </w:rPr>
        <w:t>条</w:t>
      </w:r>
      <w:r>
        <w:rPr>
          <w:rFonts w:hint="eastAsia" w:eastAsia="仿宋_GB2312" w:cs="Times New Roman"/>
          <w:b/>
          <w:bCs/>
          <w:snapToGrid w:val="0"/>
          <w:color w:val="auto"/>
          <w:spacing w:val="2"/>
          <w:kern w:val="0"/>
          <w:sz w:val="32"/>
          <w:szCs w:val="32"/>
          <w:highlight w:val="none"/>
          <w:lang w:val="en-US" w:eastAsia="zh-CN"/>
        </w:rPr>
        <w:t xml:space="preserve"> </w:t>
      </w:r>
      <w:r>
        <w:rPr>
          <w:rFonts w:hint="eastAsia" w:ascii="Times New Roman" w:hAnsi="Times New Roman" w:eastAsia="仿宋_GB2312" w:cs="Times New Roman"/>
          <w:snapToGrid w:val="0"/>
          <w:color w:val="auto"/>
          <w:spacing w:val="2"/>
          <w:kern w:val="0"/>
          <w:sz w:val="32"/>
          <w:szCs w:val="32"/>
          <w:highlight w:val="none"/>
          <w:lang w:val="en-US" w:eastAsia="zh-CN"/>
        </w:rPr>
        <w:t>本办法自 年 月 日起</w:t>
      </w:r>
      <w:r>
        <w:rPr>
          <w:rFonts w:hint="eastAsia" w:eastAsia="仿宋_GB2312" w:cs="Times New Roman"/>
          <w:snapToGrid w:val="0"/>
          <w:color w:val="auto"/>
          <w:spacing w:val="2"/>
          <w:kern w:val="0"/>
          <w:sz w:val="32"/>
          <w:szCs w:val="32"/>
          <w:highlight w:val="none"/>
          <w:lang w:val="en-US" w:eastAsia="zh-CN"/>
        </w:rPr>
        <w:t>施行</w:t>
      </w:r>
      <w:r>
        <w:rPr>
          <w:rFonts w:hint="eastAsia" w:ascii="Times New Roman" w:hAnsi="Times New Roman" w:eastAsia="仿宋_GB2312" w:cs="Times New Roman"/>
          <w:snapToGrid w:val="0"/>
          <w:color w:val="auto"/>
          <w:spacing w:val="2"/>
          <w:kern w:val="0"/>
          <w:sz w:val="32"/>
          <w:szCs w:val="32"/>
          <w:highlight w:val="none"/>
          <w:lang w:val="en-US" w:eastAsia="zh-CN"/>
        </w:rPr>
        <w:t>。</w:t>
      </w:r>
    </w:p>
    <w:p w14:paraId="64E577E3">
      <w:pPr>
        <w:rPr>
          <w:rFonts w:hint="eastAsia" w:eastAsia="宋体"/>
          <w:color w:val="auto"/>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39A904-4FAE-4582-B4FA-885672C9BE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86800A33-0F4E-40A4-BCDF-10817F694A64}"/>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24D817C6-5E74-40D3-B0F5-55E8D6D4088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D7A13"/>
    <w:rsid w:val="003617E6"/>
    <w:rsid w:val="006B133E"/>
    <w:rsid w:val="02624406"/>
    <w:rsid w:val="0374479F"/>
    <w:rsid w:val="0475354E"/>
    <w:rsid w:val="04A34393"/>
    <w:rsid w:val="05E042B0"/>
    <w:rsid w:val="061D7998"/>
    <w:rsid w:val="06916273"/>
    <w:rsid w:val="07CA1380"/>
    <w:rsid w:val="0A9F6FC6"/>
    <w:rsid w:val="0AD2439B"/>
    <w:rsid w:val="0AF46EA2"/>
    <w:rsid w:val="0B810FB8"/>
    <w:rsid w:val="0C596D0E"/>
    <w:rsid w:val="0D8B3047"/>
    <w:rsid w:val="0D8B6547"/>
    <w:rsid w:val="0E5B5995"/>
    <w:rsid w:val="0EE7610B"/>
    <w:rsid w:val="0F336D93"/>
    <w:rsid w:val="0FA638D0"/>
    <w:rsid w:val="10190546"/>
    <w:rsid w:val="109D6EDB"/>
    <w:rsid w:val="10B52DFF"/>
    <w:rsid w:val="110B1CF4"/>
    <w:rsid w:val="1171712A"/>
    <w:rsid w:val="11895257"/>
    <w:rsid w:val="12BA5CD8"/>
    <w:rsid w:val="12EF558E"/>
    <w:rsid w:val="13405086"/>
    <w:rsid w:val="13A91BE1"/>
    <w:rsid w:val="145002AE"/>
    <w:rsid w:val="146A7A17"/>
    <w:rsid w:val="158B7678"/>
    <w:rsid w:val="159F591E"/>
    <w:rsid w:val="15CB0FCE"/>
    <w:rsid w:val="15E675F9"/>
    <w:rsid w:val="161B58D5"/>
    <w:rsid w:val="16547C2D"/>
    <w:rsid w:val="172508E3"/>
    <w:rsid w:val="17410382"/>
    <w:rsid w:val="17CD1C16"/>
    <w:rsid w:val="18550D94"/>
    <w:rsid w:val="189A2440"/>
    <w:rsid w:val="18B91C3D"/>
    <w:rsid w:val="1A7F2286"/>
    <w:rsid w:val="1AA255DC"/>
    <w:rsid w:val="1B5C41F3"/>
    <w:rsid w:val="1B8A4174"/>
    <w:rsid w:val="1BB003F9"/>
    <w:rsid w:val="1BD746AC"/>
    <w:rsid w:val="1CFC5477"/>
    <w:rsid w:val="1D700627"/>
    <w:rsid w:val="1EE324BA"/>
    <w:rsid w:val="201A7FB9"/>
    <w:rsid w:val="205630F0"/>
    <w:rsid w:val="213245AE"/>
    <w:rsid w:val="21577529"/>
    <w:rsid w:val="21A57769"/>
    <w:rsid w:val="22121299"/>
    <w:rsid w:val="22B578FD"/>
    <w:rsid w:val="22FB3ADB"/>
    <w:rsid w:val="280355C3"/>
    <w:rsid w:val="2A642840"/>
    <w:rsid w:val="2AA1140C"/>
    <w:rsid w:val="2BC03B14"/>
    <w:rsid w:val="2BD178B3"/>
    <w:rsid w:val="2BEF7F55"/>
    <w:rsid w:val="2C2045B2"/>
    <w:rsid w:val="2CCD3A2F"/>
    <w:rsid w:val="2D5E3C9B"/>
    <w:rsid w:val="2DAD387D"/>
    <w:rsid w:val="2E9B3506"/>
    <w:rsid w:val="2F880DEC"/>
    <w:rsid w:val="2FB3074F"/>
    <w:rsid w:val="2FE46D20"/>
    <w:rsid w:val="300466C5"/>
    <w:rsid w:val="301D32E3"/>
    <w:rsid w:val="3020562D"/>
    <w:rsid w:val="30B575D1"/>
    <w:rsid w:val="31B639EF"/>
    <w:rsid w:val="32586854"/>
    <w:rsid w:val="33EB6032"/>
    <w:rsid w:val="3432152E"/>
    <w:rsid w:val="34476B80"/>
    <w:rsid w:val="350A0C9E"/>
    <w:rsid w:val="357F059C"/>
    <w:rsid w:val="36E27034"/>
    <w:rsid w:val="37EF1A09"/>
    <w:rsid w:val="381A354D"/>
    <w:rsid w:val="385D5423"/>
    <w:rsid w:val="38654816"/>
    <w:rsid w:val="38A00F55"/>
    <w:rsid w:val="3913663B"/>
    <w:rsid w:val="3A270BF4"/>
    <w:rsid w:val="3A2C08FF"/>
    <w:rsid w:val="3A372822"/>
    <w:rsid w:val="3A396F6B"/>
    <w:rsid w:val="3BF95783"/>
    <w:rsid w:val="3BFF7B29"/>
    <w:rsid w:val="3C46241D"/>
    <w:rsid w:val="3D5D5691"/>
    <w:rsid w:val="3E8F30B2"/>
    <w:rsid w:val="3FBF4E9D"/>
    <w:rsid w:val="3FF57D7F"/>
    <w:rsid w:val="416B7484"/>
    <w:rsid w:val="4214206C"/>
    <w:rsid w:val="434D13F6"/>
    <w:rsid w:val="452D2C28"/>
    <w:rsid w:val="459736E0"/>
    <w:rsid w:val="466510E8"/>
    <w:rsid w:val="484D0086"/>
    <w:rsid w:val="487835F2"/>
    <w:rsid w:val="488E0DCA"/>
    <w:rsid w:val="4A2319E6"/>
    <w:rsid w:val="4B4D61BA"/>
    <w:rsid w:val="4BE90D9B"/>
    <w:rsid w:val="4D697710"/>
    <w:rsid w:val="4D7C38E7"/>
    <w:rsid w:val="4DC91721"/>
    <w:rsid w:val="4F675ED1"/>
    <w:rsid w:val="50585DB8"/>
    <w:rsid w:val="50B45146"/>
    <w:rsid w:val="50B55D54"/>
    <w:rsid w:val="515661FD"/>
    <w:rsid w:val="52EA12F3"/>
    <w:rsid w:val="536227DB"/>
    <w:rsid w:val="537A7E82"/>
    <w:rsid w:val="54AE49FC"/>
    <w:rsid w:val="5632548A"/>
    <w:rsid w:val="56D36FB6"/>
    <w:rsid w:val="572F52CE"/>
    <w:rsid w:val="58366547"/>
    <w:rsid w:val="58AB5080"/>
    <w:rsid w:val="58F06F37"/>
    <w:rsid w:val="5A9D2AA8"/>
    <w:rsid w:val="5B2B529F"/>
    <w:rsid w:val="5BCD7FAC"/>
    <w:rsid w:val="5C8D7A13"/>
    <w:rsid w:val="5CD526CC"/>
    <w:rsid w:val="5CDD77D2"/>
    <w:rsid w:val="5D342241"/>
    <w:rsid w:val="5DFD2B3F"/>
    <w:rsid w:val="5E344916"/>
    <w:rsid w:val="5E6729AE"/>
    <w:rsid w:val="5F924306"/>
    <w:rsid w:val="6089645A"/>
    <w:rsid w:val="60B30F76"/>
    <w:rsid w:val="626D15F8"/>
    <w:rsid w:val="627E7362"/>
    <w:rsid w:val="62A328E3"/>
    <w:rsid w:val="63490AF3"/>
    <w:rsid w:val="63AC7EFE"/>
    <w:rsid w:val="64A50DAF"/>
    <w:rsid w:val="655F16CC"/>
    <w:rsid w:val="66767ED8"/>
    <w:rsid w:val="669F7F7B"/>
    <w:rsid w:val="66B540B7"/>
    <w:rsid w:val="675F3C06"/>
    <w:rsid w:val="69C266CE"/>
    <w:rsid w:val="69E46644"/>
    <w:rsid w:val="6A6C53A8"/>
    <w:rsid w:val="6AA638F9"/>
    <w:rsid w:val="6AF863DD"/>
    <w:rsid w:val="6B196194"/>
    <w:rsid w:val="6B3A6CFA"/>
    <w:rsid w:val="6B3D1E7D"/>
    <w:rsid w:val="6BA240C1"/>
    <w:rsid w:val="6D8E2C9C"/>
    <w:rsid w:val="6EFD5AB2"/>
    <w:rsid w:val="6F6618A9"/>
    <w:rsid w:val="6F6F1BAD"/>
    <w:rsid w:val="6F887A72"/>
    <w:rsid w:val="70266350"/>
    <w:rsid w:val="732950C8"/>
    <w:rsid w:val="746A28D4"/>
    <w:rsid w:val="74E706DA"/>
    <w:rsid w:val="76816FC9"/>
    <w:rsid w:val="769A5A1B"/>
    <w:rsid w:val="76B672A9"/>
    <w:rsid w:val="76F23784"/>
    <w:rsid w:val="77A727DC"/>
    <w:rsid w:val="77C3256E"/>
    <w:rsid w:val="79314BC4"/>
    <w:rsid w:val="7A232B70"/>
    <w:rsid w:val="7A637111"/>
    <w:rsid w:val="7A6A4943"/>
    <w:rsid w:val="7AB94F83"/>
    <w:rsid w:val="7ACC0FD1"/>
    <w:rsid w:val="7AF625DE"/>
    <w:rsid w:val="7B7B048A"/>
    <w:rsid w:val="7B95779E"/>
    <w:rsid w:val="7BA63759"/>
    <w:rsid w:val="7CE54755"/>
    <w:rsid w:val="7D5471E5"/>
    <w:rsid w:val="7D625DA6"/>
    <w:rsid w:val="7DCD5EF4"/>
    <w:rsid w:val="7DF436EC"/>
    <w:rsid w:val="7E327526"/>
    <w:rsid w:val="7F55167C"/>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left"/>
    </w:pPr>
    <w:rPr>
      <w:rFonts w:ascii="Times New Roman" w:hAnsi="Times New Roman" w:eastAsia="宋体" w:cstheme="minorBidi"/>
      <w:kern w:val="2"/>
      <w:sz w:val="24"/>
      <w:lang w:val="en-US" w:eastAsia="zh-CN" w:bidi="ar-SA"/>
    </w:rPr>
  </w:style>
  <w:style w:type="paragraph" w:styleId="3">
    <w:name w:val="heading 1"/>
    <w:basedOn w:val="1"/>
    <w:next w:val="1"/>
    <w:link w:val="12"/>
    <w:qFormat/>
    <w:uiPriority w:val="0"/>
    <w:pPr>
      <w:spacing w:before="100" w:beforeLines="100" w:after="50" w:afterLines="50"/>
      <w:ind w:left="0"/>
      <w:jc w:val="left"/>
      <w:outlineLvl w:val="0"/>
    </w:pPr>
    <w:rPr>
      <w:rFonts w:ascii="Times New Roman" w:hAnsi="Times New Roman" w:eastAsiaTheme="majorEastAsia"/>
      <w:b/>
      <w:bCs/>
      <w:sz w:val="30"/>
      <w:szCs w:val="32"/>
      <w:lang w:eastAsia="en-US" w:bidi="en-US"/>
    </w:rPr>
  </w:style>
  <w:style w:type="paragraph" w:styleId="4">
    <w:name w:val="heading 2"/>
    <w:basedOn w:val="1"/>
    <w:next w:val="1"/>
    <w:semiHidden/>
    <w:unhideWhenUsed/>
    <w:qFormat/>
    <w:uiPriority w:val="0"/>
    <w:pPr>
      <w:ind w:left="0" w:right="0"/>
      <w:jc w:val="left"/>
      <w:outlineLvl w:val="1"/>
    </w:pPr>
    <w:rPr>
      <w:rFonts w:ascii="黑体" w:hAnsi="黑体" w:eastAsia="黑体" w:cs="黑体"/>
      <w:sz w:val="28"/>
      <w:szCs w:val="32"/>
      <w:lang w:eastAsia="en-US" w:bidi="en-US"/>
    </w:rPr>
  </w:style>
  <w:style w:type="paragraph" w:styleId="5">
    <w:name w:val="heading 3"/>
    <w:basedOn w:val="1"/>
    <w:next w:val="1"/>
    <w:semiHidden/>
    <w:unhideWhenUsed/>
    <w:qFormat/>
    <w:uiPriority w:val="0"/>
    <w:pPr>
      <w:ind w:left="0" w:hanging="493"/>
      <w:outlineLvl w:val="2"/>
    </w:pPr>
    <w:rPr>
      <w:rFonts w:ascii="黑体" w:hAnsi="黑体" w:eastAsia="黑体" w:cs="黑体"/>
      <w:szCs w:val="30"/>
      <w:lang w:eastAsia="en-US" w:bidi="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textAlignment w:val="baseline"/>
    </w:pPr>
  </w:style>
  <w:style w:type="paragraph" w:styleId="6">
    <w:name w:val="annotation text"/>
    <w:basedOn w:val="1"/>
    <w:qFormat/>
    <w:uiPriority w:val="0"/>
    <w:pPr>
      <w:jc w:val="left"/>
    </w:pPr>
  </w:style>
  <w:style w:type="paragraph" w:styleId="7">
    <w:name w:val="footnote text"/>
    <w:basedOn w:val="1"/>
    <w:qFormat/>
    <w:uiPriority w:val="0"/>
    <w:pPr>
      <w:snapToGrid w:val="0"/>
      <w:spacing w:line="240" w:lineRule="auto"/>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1"/>
    <w:rPr>
      <w:rFonts w:ascii="Times New Roman" w:hAnsi="Times New Roman" w:eastAsiaTheme="majorEastAsia"/>
      <w:b/>
      <w:bCs/>
      <w:sz w:val="30"/>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6899</Words>
  <Characters>6899</Characters>
  <Lines>0</Lines>
  <Paragraphs>0</Paragraphs>
  <TotalTime>10</TotalTime>
  <ScaleCrop>false</ScaleCrop>
  <LinksUpToDate>false</LinksUpToDate>
  <CharactersWithSpaces>6986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2025-03-04T06:55:00Z</dcterms:created>
  <dc:creator>Y</dc:creator>
  <cp:lastModifiedBy>Y</cp:lastModifiedBy>
  <cp:lastPrinted>2025-05-27T06:25:00Z</cp:lastPrinted>
  <dcterms:modified xsi:type="dcterms:W3CDTF">2025-06-10T02:37:03Z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77CA6ED0C4FA436EA8A6F7A345D4F88E_13</vt:lpwstr>
  </property>
  <property fmtid="{D5CDD505-2E9C-101B-9397-08002B2CF9AE}" pid="4" name="KSOTemplateDocerSaveRecord">
    <vt:lpwstr>eyJoZGlkIjoiMzEwNTM5NzYwMDRjMzkwZTVkZjY2ODkwMGIxNGU0OTUiLCJ1c2VySWQiOiIyMDcxMjcwMTUifQ==</vt:lpwstr>
  </property>
</Properties>
</file>