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90A5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59672E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三亚市旅游和文化广电体育局综合监管社会组织管理、考核及激励办法（暂行）</w:t>
      </w:r>
      <w:r>
        <w:rPr>
          <w:rFonts w:hint="eastAsia" w:ascii="黑体" w:hAnsi="黑体" w:eastAsia="黑体" w:cs="黑体"/>
          <w:b w:val="0"/>
          <w:bCs w:val="0"/>
          <w:sz w:val="32"/>
          <w:szCs w:val="32"/>
          <w:lang w:eastAsia="zh-CN"/>
        </w:rPr>
        <w:t>》</w:t>
      </w:r>
    </w:p>
    <w:p w14:paraId="2B08F7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28"/>
          <w:szCs w:val="28"/>
        </w:rPr>
      </w:pPr>
      <w:r>
        <w:rPr>
          <w:rFonts w:hint="eastAsia" w:ascii="黑体" w:hAnsi="黑体" w:eastAsia="黑体" w:cs="黑体"/>
          <w:b w:val="0"/>
          <w:bCs w:val="0"/>
          <w:sz w:val="32"/>
          <w:szCs w:val="32"/>
          <w:lang w:val="en-US" w:eastAsia="zh-CN"/>
        </w:rPr>
        <w:t>公众</w:t>
      </w:r>
      <w:r>
        <w:rPr>
          <w:rFonts w:hint="eastAsia" w:ascii="黑体" w:hAnsi="黑体" w:eastAsia="黑体" w:cs="黑体"/>
          <w:b w:val="0"/>
          <w:bCs w:val="0"/>
          <w:sz w:val="32"/>
          <w:szCs w:val="32"/>
        </w:rPr>
        <w:t>意见采纳情况表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081"/>
        <w:gridCol w:w="5372"/>
        <w:gridCol w:w="1519"/>
        <w:gridCol w:w="4419"/>
      </w:tblGrid>
      <w:tr w14:paraId="6F6E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3" w:type="dxa"/>
          </w:tcPr>
          <w:p w14:paraId="5147B3E4">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序号</w:t>
            </w:r>
          </w:p>
        </w:tc>
        <w:tc>
          <w:tcPr>
            <w:tcW w:w="2081" w:type="dxa"/>
          </w:tcPr>
          <w:p w14:paraId="2AC341CB">
            <w:pPr>
              <w:jc w:val="center"/>
              <w:rPr>
                <w:rFonts w:hint="eastAsia" w:ascii="宋体" w:hAnsi="宋体" w:eastAsia="宋体"/>
                <w:b/>
                <w:bCs/>
                <w:sz w:val="24"/>
                <w:szCs w:val="24"/>
              </w:rPr>
            </w:pPr>
            <w:r>
              <w:rPr>
                <w:rFonts w:hint="eastAsia" w:ascii="宋体" w:hAnsi="宋体" w:eastAsia="宋体"/>
                <w:b/>
                <w:bCs/>
                <w:sz w:val="24"/>
                <w:szCs w:val="24"/>
              </w:rPr>
              <w:t>公众</w:t>
            </w:r>
          </w:p>
        </w:tc>
        <w:tc>
          <w:tcPr>
            <w:tcW w:w="5372" w:type="dxa"/>
          </w:tcPr>
          <w:p w14:paraId="46CD13C2">
            <w:pPr>
              <w:jc w:val="center"/>
              <w:rPr>
                <w:rFonts w:hint="eastAsia" w:ascii="宋体" w:hAnsi="宋体" w:eastAsia="宋体"/>
                <w:b/>
                <w:bCs/>
                <w:sz w:val="24"/>
                <w:szCs w:val="24"/>
              </w:rPr>
            </w:pPr>
            <w:r>
              <w:rPr>
                <w:rFonts w:hint="eastAsia" w:ascii="宋体" w:hAnsi="宋体" w:eastAsia="宋体"/>
                <w:b/>
                <w:bCs/>
                <w:sz w:val="24"/>
                <w:szCs w:val="24"/>
                <w:lang w:val="en-US" w:eastAsia="zh-CN"/>
              </w:rPr>
              <w:t>反馈</w:t>
            </w:r>
            <w:r>
              <w:rPr>
                <w:rFonts w:hint="eastAsia" w:ascii="宋体" w:hAnsi="宋体" w:eastAsia="宋体"/>
                <w:b/>
                <w:bCs/>
                <w:sz w:val="24"/>
                <w:szCs w:val="24"/>
              </w:rPr>
              <w:t>意见及建议</w:t>
            </w:r>
          </w:p>
        </w:tc>
        <w:tc>
          <w:tcPr>
            <w:tcW w:w="1519" w:type="dxa"/>
          </w:tcPr>
          <w:p w14:paraId="447BE2D3">
            <w:pPr>
              <w:jc w:val="center"/>
              <w:rPr>
                <w:rFonts w:hint="eastAsia" w:ascii="宋体" w:hAnsi="宋体" w:eastAsia="宋体"/>
                <w:b/>
                <w:bCs/>
                <w:sz w:val="24"/>
                <w:szCs w:val="24"/>
              </w:rPr>
            </w:pPr>
            <w:r>
              <w:rPr>
                <w:rFonts w:hint="eastAsia" w:ascii="宋体" w:hAnsi="宋体" w:eastAsia="宋体"/>
                <w:b/>
                <w:bCs/>
                <w:sz w:val="24"/>
                <w:szCs w:val="24"/>
              </w:rPr>
              <w:t>采纳情况</w:t>
            </w:r>
          </w:p>
        </w:tc>
        <w:tc>
          <w:tcPr>
            <w:tcW w:w="4419" w:type="dxa"/>
          </w:tcPr>
          <w:p w14:paraId="5FB9A153">
            <w:pPr>
              <w:jc w:val="center"/>
              <w:rPr>
                <w:rFonts w:hint="eastAsia" w:ascii="宋体" w:hAnsi="宋体" w:eastAsia="宋体"/>
                <w:b/>
                <w:bCs/>
                <w:sz w:val="24"/>
                <w:szCs w:val="24"/>
              </w:rPr>
            </w:pPr>
            <w:r>
              <w:rPr>
                <w:rFonts w:hint="eastAsia" w:ascii="宋体" w:hAnsi="宋体" w:eastAsia="宋体"/>
                <w:b/>
                <w:bCs/>
                <w:sz w:val="24"/>
                <w:szCs w:val="24"/>
              </w:rPr>
              <w:t>不采纳理由</w:t>
            </w:r>
          </w:p>
        </w:tc>
      </w:tr>
      <w:tr w14:paraId="1702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83" w:type="dxa"/>
          </w:tcPr>
          <w:p w14:paraId="2364D4F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081" w:type="dxa"/>
          </w:tcPr>
          <w:p w14:paraId="6D5C61F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市旅游行业协会联合会</w:t>
            </w:r>
          </w:p>
        </w:tc>
        <w:tc>
          <w:tcPr>
            <w:tcW w:w="5372" w:type="dxa"/>
          </w:tcPr>
          <w:p w14:paraId="0BA213D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关于“开办资金不得低于5万元”建议应与相关法规保持一致，</w:t>
            </w:r>
          </w:p>
        </w:tc>
        <w:tc>
          <w:tcPr>
            <w:tcW w:w="1519" w:type="dxa"/>
          </w:tcPr>
          <w:p w14:paraId="3BB67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已采纳</w:t>
            </w:r>
          </w:p>
        </w:tc>
        <w:tc>
          <w:tcPr>
            <w:tcW w:w="4419" w:type="dxa"/>
            <w:shd w:val="clear" w:color="auto" w:fill="auto"/>
            <w:vAlign w:val="top"/>
          </w:tcPr>
          <w:p w14:paraId="129DFF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tc>
      </w:tr>
      <w:tr w14:paraId="574E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4498A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081" w:type="dxa"/>
          </w:tcPr>
          <w:p w14:paraId="0CE6257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市旅游行业协会联合会</w:t>
            </w:r>
          </w:p>
        </w:tc>
        <w:tc>
          <w:tcPr>
            <w:tcW w:w="5372" w:type="dxa"/>
          </w:tcPr>
          <w:p w14:paraId="7D47B78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关于“单位会员开展活动的行政区域应当覆盖全市 3个以上行政区”建议明确是开展活动的范围还是注册地。</w:t>
            </w:r>
          </w:p>
        </w:tc>
        <w:tc>
          <w:tcPr>
            <w:tcW w:w="1519" w:type="dxa"/>
          </w:tcPr>
          <w:p w14:paraId="51EB2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已采纳</w:t>
            </w:r>
          </w:p>
        </w:tc>
        <w:tc>
          <w:tcPr>
            <w:tcW w:w="4419" w:type="dxa"/>
            <w:shd w:val="clear" w:color="auto" w:fill="auto"/>
            <w:vAlign w:val="top"/>
          </w:tcPr>
          <w:p w14:paraId="2E3C76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tc>
      </w:tr>
      <w:tr w14:paraId="2E4F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83" w:type="dxa"/>
          </w:tcPr>
          <w:p w14:paraId="668E514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081" w:type="dxa"/>
          </w:tcPr>
          <w:p w14:paraId="3D3D38B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市旅游行业协会联合会</w:t>
            </w:r>
          </w:p>
        </w:tc>
        <w:tc>
          <w:tcPr>
            <w:tcW w:w="5372" w:type="dxa"/>
          </w:tcPr>
          <w:p w14:paraId="0ECBAEC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社会团体成立条件第4条，建议明确秘书长负责制，以秘书长为核心打造工作团队</w:t>
            </w:r>
          </w:p>
        </w:tc>
        <w:tc>
          <w:tcPr>
            <w:tcW w:w="1519" w:type="dxa"/>
          </w:tcPr>
          <w:p w14:paraId="3A08B9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已采纳</w:t>
            </w:r>
          </w:p>
        </w:tc>
        <w:tc>
          <w:tcPr>
            <w:tcW w:w="4419" w:type="dxa"/>
            <w:shd w:val="clear" w:color="auto" w:fill="auto"/>
            <w:vAlign w:val="top"/>
          </w:tcPr>
          <w:p w14:paraId="3AD3F94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同时已进一步明确“原则上应当由秘书长担任法定代表人...”</w:t>
            </w:r>
          </w:p>
        </w:tc>
      </w:tr>
      <w:tr w14:paraId="193B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783" w:type="dxa"/>
          </w:tcPr>
          <w:p w14:paraId="49DF6C7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081" w:type="dxa"/>
          </w:tcPr>
          <w:p w14:paraId="0FCB32C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市旅游行业协会联合会</w:t>
            </w:r>
          </w:p>
        </w:tc>
        <w:tc>
          <w:tcPr>
            <w:tcW w:w="5372" w:type="dxa"/>
          </w:tcPr>
          <w:p w14:paraId="574FEE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关于“不存在行业覆盖面过大、行业特点不明确、细分行业日趋萎缩或市场主体数量规模较小的不适宜情形。”这条难以界定建议简化。</w:t>
            </w:r>
          </w:p>
        </w:tc>
        <w:tc>
          <w:tcPr>
            <w:tcW w:w="1519" w:type="dxa"/>
          </w:tcPr>
          <w:p w14:paraId="70497E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FF0000"/>
                <w:sz w:val="28"/>
                <w:szCs w:val="28"/>
                <w:lang w:val="en-US" w:eastAsia="zh-CN"/>
              </w:rPr>
              <w:t>部分采纳</w:t>
            </w:r>
          </w:p>
        </w:tc>
        <w:tc>
          <w:tcPr>
            <w:tcW w:w="4419" w:type="dxa"/>
            <w:shd w:val="clear" w:color="auto" w:fill="auto"/>
            <w:vAlign w:val="top"/>
          </w:tcPr>
          <w:p w14:paraId="29D902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主要目的地是防止盲目注册成立行业协会，避免协会无序扩张增长。已调整为：主要业务范围应当符合三亚市旅游文体产业事业高质量发展相关规划明确鼓励或培育发展的领域，不存在细分行业日趋萎缩或市场总体规模较小的不适宜情形。</w:t>
            </w:r>
          </w:p>
        </w:tc>
      </w:tr>
      <w:tr w14:paraId="14FF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47F2F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081" w:type="dxa"/>
          </w:tcPr>
          <w:p w14:paraId="2DCF1EB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市旅游行业协会联合会</w:t>
            </w:r>
          </w:p>
        </w:tc>
        <w:tc>
          <w:tcPr>
            <w:tcW w:w="5372" w:type="dxa"/>
          </w:tcPr>
          <w:p w14:paraId="06A2ECA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关于年度考核不合格情形中要求“当年度无故缺席市旅游和文化广电体育局通知要求参加的会议或活动达 2 次及以上的”，谁来负责记录、考核如何提供依据？</w:t>
            </w:r>
          </w:p>
        </w:tc>
        <w:tc>
          <w:tcPr>
            <w:tcW w:w="1519" w:type="dxa"/>
          </w:tcPr>
          <w:p w14:paraId="0FF35A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已采纳，并删除此项</w:t>
            </w:r>
          </w:p>
        </w:tc>
        <w:tc>
          <w:tcPr>
            <w:tcW w:w="4419" w:type="dxa"/>
            <w:shd w:val="clear" w:color="auto" w:fill="auto"/>
            <w:vAlign w:val="top"/>
          </w:tcPr>
          <w:p w14:paraId="47D8B8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但建议在年度检查初审时，将此项内容列为“基本合格情形”，至于如何记录，则可依据旅文局相关会议的签到表进行核查即可。</w:t>
            </w:r>
          </w:p>
        </w:tc>
      </w:tr>
      <w:tr w14:paraId="637F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FF3806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081" w:type="dxa"/>
          </w:tcPr>
          <w:p w14:paraId="3D4B234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市旅游行业协会联合会</w:t>
            </w:r>
          </w:p>
        </w:tc>
        <w:tc>
          <w:tcPr>
            <w:tcW w:w="5372" w:type="dxa"/>
          </w:tcPr>
          <w:p w14:paraId="2DB6618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旅游、文体、民非社会组织业务范围差异较大，一类考核指标表能否适应？</w:t>
            </w:r>
          </w:p>
        </w:tc>
        <w:tc>
          <w:tcPr>
            <w:tcW w:w="1519" w:type="dxa"/>
          </w:tcPr>
          <w:p w14:paraId="45F187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已采纳，已参考民政部门社会组织评估，按照“社团”和“民非”两大类分设考核指标，并已重新调整相关内容。</w:t>
            </w:r>
          </w:p>
        </w:tc>
        <w:tc>
          <w:tcPr>
            <w:tcW w:w="4419" w:type="dxa"/>
            <w:shd w:val="clear" w:color="auto" w:fill="auto"/>
            <w:vAlign w:val="top"/>
          </w:tcPr>
          <w:p w14:paraId="097C216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说明：关于分类，不建议分得太细，一方面是会增加考核工作复杂性和内耗，而且各细分领域社会组织每年度培育发展工作实际情况也会有所差异，分太细可能造成一些不必要的工作束缚；另一方面旅游、文体细分领域社会组织的业务范围虽有差异，但业务能力水平的考核评估点是相通的，相同组织性质的社会组织的主要职能和需要发挥的作用是相通的，故只按组织性质分类。</w:t>
            </w:r>
          </w:p>
        </w:tc>
      </w:tr>
      <w:tr w14:paraId="1A70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783" w:type="dxa"/>
          </w:tcPr>
          <w:p w14:paraId="7F06C96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081" w:type="dxa"/>
          </w:tcPr>
          <w:p w14:paraId="7417F68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市旅游行业协会联合会</w:t>
            </w:r>
          </w:p>
        </w:tc>
        <w:tc>
          <w:tcPr>
            <w:tcW w:w="5372" w:type="dxa"/>
          </w:tcPr>
          <w:p w14:paraId="315B285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章的条款更多是一些空洞的规则，并没有从行业协会如何加强管理，更好的发挥行业协会作用方面进行引导。如：协会内部管理有何具体要求、运行按照什么规范进行、服务会员与行业有哪些具体指标、包括财务制度、党建工作等方面应</w:t>
            </w:r>
            <w:bookmarkStart w:id="0" w:name="_GoBack"/>
            <w:bookmarkEnd w:id="0"/>
            <w:r>
              <w:rPr>
                <w:rFonts w:hint="eastAsia" w:ascii="仿宋_GB2312" w:hAnsi="仿宋_GB2312" w:eastAsia="仿宋_GB2312" w:cs="仿宋_GB2312"/>
                <w:sz w:val="28"/>
                <w:szCs w:val="28"/>
                <w:lang w:val="en-US" w:eastAsia="zh-CN"/>
              </w:rPr>
              <w:t>提出一些监管的要求，以引导行业组织去进一步规范化运行。</w:t>
            </w:r>
          </w:p>
        </w:tc>
        <w:tc>
          <w:tcPr>
            <w:tcW w:w="1519" w:type="dxa"/>
          </w:tcPr>
          <w:p w14:paraId="2A0E7C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已采纳</w:t>
            </w:r>
          </w:p>
        </w:tc>
        <w:tc>
          <w:tcPr>
            <w:tcW w:w="4419" w:type="dxa"/>
            <w:shd w:val="clear" w:color="auto" w:fill="auto"/>
            <w:vAlign w:val="top"/>
          </w:tcPr>
          <w:p w14:paraId="209FC44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已增加基层党建指导与监督、日常业务指导与监督、加强经营行为协同监督、“僵尸型”社会组织的“激活”等监督管理内容；在相应内容板块中，就社会组织加强内部管理、加强财务管理、年度检查的初审发挥桥梁作用、重大活动报批、规范业务活动、规范对外宣传等多方面提出明确要求；同时结合年度考核指标、考核工作进行规范引导。</w:t>
            </w:r>
          </w:p>
        </w:tc>
      </w:tr>
    </w:tbl>
    <w:p w14:paraId="3A51C4CB">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宋体" w:hAnsi="宋体" w:eastAsia="宋体"/>
          <w:sz w:val="24"/>
          <w:szCs w:val="24"/>
        </w:rPr>
      </w:pPr>
    </w:p>
    <w:p w14:paraId="6F5BEDED">
      <w:pPr>
        <w:rPr>
          <w:rFonts w:hint="eastAsia" w:ascii="宋体" w:hAnsi="宋体" w:eastAsia="宋体"/>
          <w:b/>
          <w:bCs/>
          <w:sz w:val="28"/>
          <w:szCs w:val="28"/>
        </w:rPr>
      </w:pPr>
    </w:p>
    <w:sectPr>
      <w:pgSz w:w="16838" w:h="11906" w:orient="landscape"/>
      <w:pgMar w:top="163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02ACF"/>
    <w:rsid w:val="5BF175E7"/>
    <w:rsid w:val="66E0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2025-04-30T09:38:00Z</dcterms:created>
  <dc:creator>栾</dc:creator>
  <cp:lastModifiedBy>栾</cp:lastModifiedBy>
  <dcterms:modified xsi:type="dcterms:W3CDTF">2025-04-30T09:46:22Z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A6C3FE45EC12417BBFC9B0022EC23C3B_11</vt:lpwstr>
  </property>
  <property fmtid="{D5CDD505-2E9C-101B-9397-08002B2CF9AE}" pid="4" name="KSOTemplateDocerSaveRecord">
    <vt:lpwstr>eyJoZGlkIjoiMjRiNWRhZWE1MjM1MzI3NWJlOTUwMmRkZjQ5MmVkZWMiLCJ1c2VySWQiOiIxNDM0NjU5OTU2In0=</vt:lpwstr>
  </property>
</Properties>
</file>