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78" w:lineRule="exact"/>
        <w:ind w:right="901"/>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3"/>
        <w:spacing w:after="0" w:line="578" w:lineRule="exact"/>
        <w:ind w:left="788" w:right="901" w:firstLine="6"/>
        <w:jc w:val="center"/>
        <w:rPr>
          <w:rFonts w:hint="eastAsia" w:ascii="Times New Roman" w:hAnsi="Times New Roman" w:cs="Times New Roman"/>
          <w:color w:val="auto"/>
          <w:lang w:val="en-US" w:eastAsia="zh-CN"/>
        </w:rPr>
      </w:pPr>
    </w:p>
    <w:p>
      <w:pPr>
        <w:pStyle w:val="3"/>
        <w:spacing w:after="0" w:line="578" w:lineRule="exact"/>
        <w:ind w:left="788" w:right="901" w:firstLine="6"/>
        <w:jc w:val="center"/>
        <w:rPr>
          <w:rFonts w:ascii="Times New Roman" w:hAnsi="Times New Roman" w:cs="Times New Roman"/>
          <w:color w:val="auto"/>
          <w:lang w:eastAsia="zh-CN"/>
        </w:rPr>
      </w:pPr>
      <w:r>
        <w:rPr>
          <w:rFonts w:ascii="Times New Roman" w:hAnsi="Times New Roman" w:cs="Times New Roman"/>
          <w:color w:val="auto"/>
          <w:lang w:eastAsia="zh-CN"/>
        </w:rPr>
        <w:t>三亚市</w:t>
      </w:r>
      <w:r>
        <w:rPr>
          <w:rFonts w:hint="eastAsia" w:ascii="Times New Roman" w:hAnsi="Times New Roman" w:cs="Times New Roman"/>
          <w:color w:val="auto"/>
          <w:lang w:eastAsia="zh-CN"/>
        </w:rPr>
        <w:t>支持</w:t>
      </w:r>
      <w:r>
        <w:rPr>
          <w:rFonts w:ascii="Times New Roman" w:hAnsi="Times New Roman" w:cs="Times New Roman"/>
          <w:color w:val="auto"/>
          <w:lang w:eastAsia="zh-CN"/>
        </w:rPr>
        <w:t>大型演唱会、音乐节及</w:t>
      </w:r>
    </w:p>
    <w:p>
      <w:pPr>
        <w:pStyle w:val="3"/>
        <w:spacing w:after="0" w:line="578" w:lineRule="exact"/>
        <w:ind w:left="788" w:right="901" w:firstLine="6"/>
        <w:jc w:val="center"/>
        <w:rPr>
          <w:rFonts w:ascii="Times New Roman" w:hAnsi="Times New Roman" w:cs="Times New Roman"/>
          <w:color w:val="auto"/>
          <w:w w:val="95"/>
          <w:lang w:eastAsia="zh-CN"/>
        </w:rPr>
      </w:pPr>
      <w:r>
        <w:rPr>
          <w:rFonts w:ascii="Times New Roman" w:hAnsi="Times New Roman" w:cs="Times New Roman"/>
          <w:color w:val="auto"/>
          <w:w w:val="95"/>
          <w:lang w:eastAsia="zh-CN"/>
        </w:rPr>
        <w:t>高品质优秀剧目文艺演出奖励实施细则</w:t>
      </w:r>
      <w:r>
        <w:rPr>
          <w:rFonts w:hint="default" w:ascii="Times New Roman" w:hAnsi="Times New Roman"/>
          <w:color w:val="auto"/>
          <w:w w:val="95"/>
          <w:sz w:val="44"/>
          <w:szCs w:val="44"/>
          <w:lang w:eastAsia="zh-CN"/>
        </w:rPr>
        <w:t>（</w:t>
      </w:r>
      <w:r>
        <w:rPr>
          <w:rFonts w:hint="default" w:ascii="Times New Roman" w:hAnsi="Times New Roman"/>
          <w:color w:val="auto"/>
          <w:w w:val="95"/>
          <w:sz w:val="44"/>
          <w:szCs w:val="44"/>
          <w:lang w:val="en-US" w:eastAsia="zh-CN"/>
        </w:rPr>
        <w:t>2025修订版</w:t>
      </w:r>
      <w:r>
        <w:rPr>
          <w:rFonts w:hint="default" w:ascii="Times New Roman" w:hAnsi="Times New Roman"/>
          <w:color w:val="auto"/>
          <w:w w:val="95"/>
          <w:sz w:val="44"/>
          <w:szCs w:val="44"/>
          <w:lang w:eastAsia="zh-CN"/>
        </w:rPr>
        <w:t>）</w:t>
      </w:r>
    </w:p>
    <w:p>
      <w:pPr>
        <w:spacing w:after="0" w:line="578" w:lineRule="exact"/>
        <w:jc w:val="both"/>
        <w:rPr>
          <w:rFonts w:ascii="Times New Roman" w:hAnsi="Times New Roman" w:eastAsia="方正小标宋简体" w:cs="Times New Roman"/>
          <w:color w:val="auto"/>
          <w:sz w:val="42"/>
          <w:szCs w:val="42"/>
          <w:lang w:eastAsia="zh-CN"/>
        </w:rPr>
      </w:pPr>
    </w:p>
    <w:p>
      <w:pPr>
        <w:pStyle w:val="4"/>
        <w:spacing w:before="0" w:after="0" w:line="578" w:lineRule="exact"/>
        <w:ind w:left="0" w:firstLine="648"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2"/>
          <w:lang w:eastAsia="zh-CN"/>
        </w:rPr>
        <w:t>为贯彻落实《三亚市加强文体旅商展联动进一步促进消费的若干措施</w:t>
      </w:r>
      <w:r>
        <w:rPr>
          <w:rFonts w:hint="eastAsia" w:ascii="Times New Roman" w:hAnsi="Times New Roman" w:eastAsia="仿宋_GB2312" w:cs="Times New Roman"/>
          <w:color w:val="auto"/>
          <w:spacing w:val="2"/>
          <w:lang w:eastAsia="zh-CN"/>
        </w:rPr>
        <w:t>（</w:t>
      </w:r>
      <w:r>
        <w:rPr>
          <w:rFonts w:hint="eastAsia" w:ascii="Times New Roman" w:hAnsi="Times New Roman" w:eastAsia="仿宋_GB2312" w:cs="Times New Roman"/>
          <w:color w:val="auto"/>
          <w:spacing w:val="2"/>
          <w:lang w:val="en-US" w:eastAsia="zh-CN"/>
        </w:rPr>
        <w:t>2025修订版</w:t>
      </w:r>
      <w:r>
        <w:rPr>
          <w:rFonts w:hint="eastAsia" w:ascii="Times New Roman" w:hAnsi="Times New Roman" w:eastAsia="仿宋_GB2312" w:cs="Times New Roman"/>
          <w:color w:val="auto"/>
          <w:spacing w:val="2"/>
          <w:lang w:eastAsia="zh-CN"/>
        </w:rPr>
        <w:t>）</w:t>
      </w:r>
      <w:r>
        <w:rPr>
          <w:rFonts w:ascii="Times New Roman" w:hAnsi="Times New Roman" w:eastAsia="仿宋_GB2312" w:cs="Times New Roman"/>
          <w:color w:val="auto"/>
          <w:spacing w:val="2"/>
          <w:lang w:eastAsia="zh-CN"/>
        </w:rPr>
        <w:t>》，进一步做好三亚市大型演出和高品质优秀剧目专项奖励工作，充分发挥政府政策激励作用，鼓励市场主体引进和投资大型文艺演出，提升三亚市演艺市场活力，特制定本实施细则。</w:t>
      </w:r>
    </w:p>
    <w:p>
      <w:pPr>
        <w:pStyle w:val="7"/>
        <w:spacing w:before="0" w:beforeAutospacing="0" w:after="0" w:afterAutospacing="0" w:line="578" w:lineRule="exact"/>
        <w:ind w:firstLine="640" w:firstLineChars="2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lang w:bidi="ar"/>
        </w:rPr>
        <w:t>一、参评基本要求</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（一）申请奖励的演出活动必须是在三亚市内举办的线下大型营业性演唱会</w:t>
      </w:r>
      <w:r>
        <w:rPr>
          <w:rFonts w:hint="eastAsia" w:ascii="Times New Roman" w:hAnsi="Times New Roman" w:eastAsia="仿宋_GB2312" w:cs="Times New Roman"/>
          <w:color w:val="auto"/>
          <w:sz w:val="32"/>
          <w:szCs w:val="32"/>
          <w:lang w:eastAsia="zh-CN" w:bidi="ar"/>
        </w:rPr>
        <w:t>、</w:t>
      </w:r>
      <w:r>
        <w:rPr>
          <w:rFonts w:ascii="Times New Roman" w:hAnsi="Times New Roman" w:eastAsia="仿宋_GB2312" w:cs="Times New Roman"/>
          <w:color w:val="auto"/>
          <w:sz w:val="32"/>
          <w:szCs w:val="32"/>
          <w:lang w:bidi="ar"/>
        </w:rPr>
        <w:t>音乐节</w:t>
      </w:r>
      <w:bookmarkStart w:id="3" w:name="_GoBack"/>
      <w:bookmarkEnd w:id="3"/>
      <w:r>
        <w:rPr>
          <w:rFonts w:ascii="Times New Roman" w:hAnsi="Times New Roman" w:eastAsia="仿宋_GB2312" w:cs="Times New Roman"/>
          <w:color w:val="auto"/>
          <w:sz w:val="32"/>
          <w:szCs w:val="32"/>
          <w:lang w:bidi="ar"/>
        </w:rPr>
        <w:t>和在国家级、省级重大文化艺术节展活动中引进在三亚举办的国际知名或国内一流院团优秀剧目。</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（二）报批手续齐全，不存在未经审批开展演出情况。</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三）演出活动具有良好的社会效益和品牌影响力，未出现对演出行业、对社会公众、对三亚形象造成不良影响的重大负面舆情。演出活动举办方（主办方）三年内未出现重大负面舆情，申请奖励前三年内在经营活动中没有重大违法记录。</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（四）活动严格按照文化和旅游部、公安部《关于进一步加强大型营业性演出活动规范管理促进演出市场健康有序发展的通知》（文旅市场发〔2023〕96号）和海南省旅</w:t>
      </w:r>
      <w:r>
        <w:rPr>
          <w:rFonts w:hint="eastAsia" w:ascii="Times New Roman" w:hAnsi="Times New Roman" w:eastAsia="仿宋_GB2312" w:cs="Times New Roman"/>
          <w:color w:val="auto"/>
          <w:sz w:val="32"/>
          <w:szCs w:val="32"/>
          <w:lang w:eastAsia="zh-CN" w:bidi="ar"/>
        </w:rPr>
        <w:t>游</w:t>
      </w:r>
      <w:r>
        <w:rPr>
          <w:rFonts w:ascii="Times New Roman" w:hAnsi="Times New Roman" w:eastAsia="仿宋_GB2312" w:cs="Times New Roman"/>
          <w:color w:val="auto"/>
          <w:sz w:val="32"/>
          <w:szCs w:val="32"/>
          <w:lang w:bidi="ar"/>
        </w:rPr>
        <w:t>和文化广电体育厅、中共海南省委宣传部、中共海南省委网络安全和信息化委员会办公室、海南省公安厅、海南省市场监督管理局、海南省应急管理厅、海南省商务厅、海南省司法厅、海南省营商环境建设厅、海南省消防救援总队《关于进一步加强海南省大型营业性演出活动规范管理促进演出市场健康有序发展的通知》（琼旅文便函〔2023〕3421号）及三亚市级相关规定的各项要求做好大型营业性演出活动审批安全、票务、舆情等各项工作。</w:t>
      </w:r>
    </w:p>
    <w:p>
      <w:pPr>
        <w:pStyle w:val="7"/>
        <w:spacing w:before="0" w:beforeAutospacing="0" w:after="0" w:afterAutospacing="0" w:line="578" w:lineRule="exact"/>
        <w:ind w:firstLine="640" w:firstLineChars="2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lang w:bidi="ar"/>
        </w:rPr>
        <w:t>二、奖励标准</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对符合参评基本要求的活动，根据同一演出项目累计售票总人次规模进行奖励。同一演出活动奖励场次不超过4场（含）。</w:t>
      </w:r>
    </w:p>
    <w:p>
      <w:pPr>
        <w:pStyle w:val="7"/>
        <w:numPr>
          <w:ilvl w:val="0"/>
          <w:numId w:val="0"/>
        </w:numPr>
        <w:spacing w:before="0" w:beforeAutospacing="0" w:after="0" w:afterAutospacing="0" w:line="578" w:lineRule="exact"/>
        <w:ind w:leftChars="0" w:firstLine="640" w:firstLineChars="200"/>
        <w:jc w:val="both"/>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bidi="ar"/>
        </w:rPr>
        <w:t>(一）</w:t>
      </w:r>
      <w:r>
        <w:rPr>
          <w:rFonts w:hint="default" w:ascii="Times New Roman" w:hAnsi="Times New Roman" w:eastAsia="楷体" w:cs="Times New Roman"/>
          <w:color w:val="auto"/>
          <w:sz w:val="32"/>
          <w:szCs w:val="32"/>
          <w:lang w:bidi="ar"/>
        </w:rPr>
        <w:t>支持大型演唱会、音乐节。</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1.在三亚白鹭体育场举办演唱会或在三亚举办户外音乐节：累计售票总人次超过1万人次奖励100万元，以此类推，每增加2000人次奖励金额递增10万元，最高不超过150万元。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2.在三亚白鹭体育馆或其他室内场馆内举办演唱会：累计售票总人次超过5000人次奖励100万元，以此类推，每增加1000人次奖励金额递增10万元，最高不超过150万元。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3.上浮奖励标准：在上述基础上，如满足以下情况之一，奖励标准上浮10%；如同时满足以下2个标准，则奖励金额上浮20%；如同时满足以下3个标准，则奖励金额上浮30%；如同时满足以下4个加分项标准，则奖励金额上浮40%；最高不超过200万。</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（1）岛外购票观众比例为50%（含）或以上；</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（2）该演唱会、音乐节在</w:t>
      </w:r>
      <w:r>
        <w:rPr>
          <w:rFonts w:hint="eastAsia" w:ascii="Times New Roman" w:hAnsi="Times New Roman" w:eastAsia="仿宋_GB2312" w:cs="Times New Roman"/>
          <w:color w:val="auto"/>
          <w:sz w:val="32"/>
          <w:szCs w:val="32"/>
          <w:lang w:eastAsia="zh-CN" w:bidi="ar"/>
        </w:rPr>
        <w:t>淡季</w:t>
      </w:r>
      <w:r>
        <w:rPr>
          <w:rFonts w:ascii="Times New Roman" w:hAnsi="Times New Roman" w:eastAsia="仿宋_GB2312" w:cs="Times New Roman"/>
          <w:color w:val="auto"/>
          <w:sz w:val="32"/>
          <w:szCs w:val="32"/>
          <w:lang w:bidi="ar"/>
        </w:rPr>
        <w:t>期间举办（活动举办时间在4月1日-9月30日）；</w:t>
      </w:r>
    </w:p>
    <w:p>
      <w:pPr>
        <w:pStyle w:val="4"/>
        <w:spacing w:before="0" w:after="0" w:line="578" w:lineRule="exact"/>
        <w:ind w:left="0" w:firstLine="640" w:firstLineChars="200"/>
        <w:jc w:val="both"/>
        <w:rPr>
          <w:rFonts w:ascii="Times New Roman" w:hAnsi="Times New Roman" w:eastAsia="仿宋_GB2312" w:cs="Times New Roman"/>
          <w:color w:val="auto"/>
          <w:spacing w:val="0"/>
          <w:w w:val="100"/>
          <w:lang w:eastAsia="zh-CN" w:bidi="ar"/>
        </w:rPr>
      </w:pPr>
      <w:r>
        <w:rPr>
          <w:rFonts w:ascii="Times New Roman" w:hAnsi="Times New Roman" w:eastAsia="仿宋_GB2312" w:cs="Times New Roman"/>
          <w:color w:val="auto"/>
          <w:spacing w:val="0"/>
          <w:w w:val="100"/>
          <w:lang w:eastAsia="zh-CN" w:bidi="ar"/>
        </w:rPr>
        <w:t>（</w:t>
      </w:r>
      <w:r>
        <w:rPr>
          <w:rFonts w:hint="default" w:ascii="Times New Roman" w:hAnsi="Times New Roman" w:eastAsia="仿宋_GB2312" w:cs="Times New Roman"/>
          <w:color w:val="auto"/>
          <w:spacing w:val="0"/>
          <w:w w:val="100"/>
          <w:lang w:val="en-US" w:eastAsia="zh-CN" w:bidi="ar"/>
        </w:rPr>
        <w:t>3</w:t>
      </w:r>
      <w:r>
        <w:rPr>
          <w:rFonts w:ascii="Times New Roman" w:hAnsi="Times New Roman" w:eastAsia="仿宋_GB2312" w:cs="Times New Roman"/>
          <w:color w:val="auto"/>
          <w:spacing w:val="0"/>
          <w:w w:val="100"/>
          <w:lang w:eastAsia="zh-CN" w:bidi="ar"/>
        </w:rPr>
        <w:t>）所引入的项目以境外团队、人员为主，或该项目在国际具有广泛影响力；</w:t>
      </w:r>
    </w:p>
    <w:p>
      <w:pPr>
        <w:pStyle w:val="4"/>
        <w:spacing w:before="0" w:after="0" w:line="578" w:lineRule="exact"/>
        <w:ind w:left="0" w:firstLine="640" w:firstLineChars="200"/>
        <w:jc w:val="both"/>
        <w:rPr>
          <w:rFonts w:ascii="Times New Roman" w:hAnsi="Times New Roman" w:eastAsia="仿宋_GB2312" w:cs="Times New Roman"/>
          <w:color w:val="auto"/>
          <w:spacing w:val="0"/>
          <w:w w:val="100"/>
          <w:lang w:eastAsia="zh-CN" w:bidi="ar"/>
        </w:rPr>
      </w:pPr>
      <w:r>
        <w:rPr>
          <w:rFonts w:ascii="Times New Roman" w:hAnsi="Times New Roman" w:eastAsia="仿宋_GB2312" w:cs="Times New Roman"/>
          <w:color w:val="auto"/>
          <w:spacing w:val="0"/>
          <w:w w:val="100"/>
          <w:lang w:eastAsia="zh-CN" w:bidi="ar"/>
        </w:rPr>
        <w:t>（4）在三亚新</w:t>
      </w:r>
      <w:r>
        <w:rPr>
          <w:rFonts w:hint="default" w:ascii="Times New Roman" w:hAnsi="Times New Roman" w:eastAsia="仿宋_GB2312" w:cs="Times New Roman"/>
          <w:color w:val="auto"/>
          <w:spacing w:val="0"/>
          <w:w w:val="100"/>
          <w:lang w:eastAsia="zh-CN" w:bidi="ar"/>
        </w:rPr>
        <w:t>建</w:t>
      </w:r>
      <w:r>
        <w:rPr>
          <w:rFonts w:ascii="Times New Roman" w:hAnsi="Times New Roman" w:eastAsia="仿宋_GB2312" w:cs="Times New Roman"/>
          <w:color w:val="auto"/>
          <w:spacing w:val="0"/>
          <w:w w:val="100"/>
          <w:lang w:eastAsia="zh-CN" w:bidi="ar"/>
        </w:rPr>
        <w:t>体育馆投入运营第一年内举办演唱会（完成场馆验收并交付使用之日起计算）。</w:t>
      </w:r>
    </w:p>
    <w:p>
      <w:pPr>
        <w:pStyle w:val="4"/>
        <w:spacing w:before="0" w:after="0" w:line="578" w:lineRule="exact"/>
        <w:ind w:left="0" w:firstLine="640" w:firstLineChars="200"/>
        <w:jc w:val="both"/>
        <w:rPr>
          <w:rFonts w:ascii="Times New Roman" w:hAnsi="Times New Roman" w:eastAsia="仿宋_GB2312" w:cs="Times New Roman"/>
          <w:color w:val="auto"/>
          <w:spacing w:val="0"/>
          <w:w w:val="100"/>
          <w:lang w:eastAsia="zh-CN" w:bidi="ar"/>
        </w:rPr>
      </w:pPr>
      <w:r>
        <w:rPr>
          <w:rFonts w:ascii="Times New Roman" w:hAnsi="Times New Roman" w:eastAsia="仿宋_GB2312" w:cs="Times New Roman"/>
          <w:color w:val="auto"/>
          <w:spacing w:val="0"/>
          <w:w w:val="100"/>
          <w:lang w:eastAsia="zh-CN" w:bidi="ar"/>
        </w:rPr>
        <w:t>4.定制奖励方案：</w:t>
      </w:r>
      <w:r>
        <w:rPr>
          <w:rFonts w:hint="default" w:ascii="Times New Roman" w:hAnsi="Times New Roman" w:eastAsia="仿宋_GB2312" w:cs="Times New Roman"/>
          <w:color w:val="auto"/>
          <w:sz w:val="32"/>
          <w:szCs w:val="32"/>
          <w:lang w:eastAsia="zh-CN" w:bidi="ar"/>
        </w:rPr>
        <w:t>对三亚建设海南国际旅游消费中心核心区等有关战略目标有重大正面影响力的项目，按“一事一议”定制专项奖励措施和落地保障方案，</w:t>
      </w:r>
      <w:r>
        <w:rPr>
          <w:rFonts w:hint="default" w:ascii="Times New Roman" w:hAnsi="Times New Roman" w:eastAsia="仿宋_GB2312" w:cs="Times New Roman"/>
          <w:color w:val="auto"/>
          <w:sz w:val="32"/>
          <w:szCs w:val="32"/>
          <w:lang w:val="en-US" w:eastAsia="zh-CN" w:bidi="ar"/>
        </w:rPr>
        <w:t>奖励金额最高不超过活动总支出50%</w:t>
      </w:r>
      <w:r>
        <w:rPr>
          <w:rFonts w:hint="default" w:ascii="Times New Roman" w:hAnsi="Times New Roman" w:eastAsia="仿宋_GB2312" w:cs="Times New Roman"/>
          <w:color w:val="auto"/>
          <w:sz w:val="32"/>
          <w:szCs w:val="32"/>
          <w:lang w:eastAsia="zh-CN" w:bidi="ar"/>
        </w:rPr>
        <w:t>。</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bidi="ar"/>
        </w:rPr>
        <w:t>（二）支持高品质优秀剧目文艺演出</w:t>
      </w:r>
      <w:r>
        <w:rPr>
          <w:rFonts w:ascii="Times New Roman" w:hAnsi="Times New Roman" w:eastAsia="仿宋_GB2312" w:cs="Times New Roman"/>
          <w:color w:val="auto"/>
          <w:sz w:val="32"/>
          <w:szCs w:val="32"/>
          <w:lang w:bidi="ar"/>
        </w:rPr>
        <w:t>。对主办单位引进国际知名或国内一流院团优秀剧目，按照累计观演观众予以事后一次性奖励。人数3000-5000人次（含），予以20万元奖励；5000-10000人次（含），且岛外观众比例超过40％的，予以50万元奖励。</w:t>
      </w:r>
    </w:p>
    <w:p>
      <w:pPr>
        <w:pStyle w:val="7"/>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岛内外观众界定以身份证件为凭据。</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三、申请材料</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（一）项目申请表和总结报告。</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（二）申报单位营业执照、营业性演出许可证、申报项目营业性演出准予许可决定（扫描件）。</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三）购票观众人次凭证，包括但不限于各销售平台数据凭证：1.票务销售方案（应包含演出项目名称、演出时间、演出场次、售票渠道、门票数量、票务公开销售比例、岛外观众比例及数量清单、退票规则等信息）；2.演出举办单位与演出票务销售平台签订的票务销售合同（含委托书）、发票；3.演出票务销售平台销售结算清单、银行流水等；4.销售点统计汇总表；5.各票价销售统计汇总表。1-5项凭证材料须盖申报单位公章、盖票务销售平台公章；6.体现演出阵容和现场观众人数的照片和视频（保证真实性和关联性，如舞台和观众全景照片、视频等）等。</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bookmarkStart w:id="0" w:name="（七）三年内未出现重大负面舆情声明。"/>
      <w:bookmarkEnd w:id="0"/>
      <w:r>
        <w:rPr>
          <w:rFonts w:ascii="Times New Roman" w:hAnsi="Times New Roman" w:eastAsia="仿宋_GB2312" w:cs="Times New Roman"/>
          <w:color w:val="auto"/>
          <w:lang w:eastAsia="zh-CN"/>
        </w:rPr>
        <w:t>（四）落实“双实名制”的有关材料：1.风险自评报告（应包含重点分析研判票务销售、现场管理、网络舆情等方面风险，并提出针对性工作措施）；2.实名制购票清单（实名制购票声明及购票信息清单）；3.实名制入场清单（实名制入场声明项目场次检票报表清单；闸机验票统计汇总表；PDA检票统计汇总表；手机APP电子检票统计汇总表；如使用纸质票检票，请提供汇总表）。以上材料须盖申报单位公章盖检票票务平台公章，以查验演出当天观众入场数量。</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（五）大型演唱会、音乐节售票收入凭证（赞助收入不作为售票收入）。</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（六）社会效益和品牌影响力凭证，包括但不限于媒体报道、自媒体评论等。</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（七）加分项标准达成说明及凭证（如涉及奖励资金上浮标准、满足体育馆开场秀等情形）。</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八）信用查询记录。奖励申请单位需通过“信用中国”网站（http://www.creditchina.gov.cn/）或中国政府采购网（http://www.ccgp.gov.cn/）查询信用记录，并打印网站查询结果的截图。对列入失信被执行人、重大税收违法案件当事人名单、政府采购严重违法失信行为记录名单的单位无奖励申请资格（提供网站截图）。</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（九）声明承诺书。内容包含申请奖励前</w:t>
      </w:r>
      <w:r>
        <w:rPr>
          <w:rFonts w:hint="eastAsia" w:ascii="Times New Roman" w:hAnsi="Times New Roman" w:eastAsia="仿宋_GB2312" w:cs="Times New Roman"/>
          <w:color w:val="auto"/>
          <w:lang w:eastAsia="zh-CN"/>
        </w:rPr>
        <w:t>三</w:t>
      </w:r>
      <w:r>
        <w:rPr>
          <w:rFonts w:ascii="Times New Roman" w:hAnsi="Times New Roman" w:eastAsia="仿宋_GB2312" w:cs="Times New Roman"/>
          <w:color w:val="auto"/>
          <w:lang w:eastAsia="zh-CN"/>
        </w:rPr>
        <w:t>年内未出现重大负面舆情；申请奖励前</w:t>
      </w:r>
      <w:r>
        <w:rPr>
          <w:rFonts w:hint="eastAsia" w:ascii="Times New Roman" w:hAnsi="Times New Roman" w:eastAsia="仿宋_GB2312" w:cs="Times New Roman"/>
          <w:color w:val="auto"/>
          <w:lang w:eastAsia="zh-CN"/>
        </w:rPr>
        <w:t>三</w:t>
      </w:r>
      <w:r>
        <w:rPr>
          <w:rFonts w:ascii="Times New Roman" w:hAnsi="Times New Roman" w:eastAsia="仿宋_GB2312" w:cs="Times New Roman"/>
          <w:color w:val="auto"/>
          <w:lang w:eastAsia="zh-CN"/>
        </w:rPr>
        <w:t>年内在经营活动中没有重大违法记录；同一活动未重复申请或获得三亚市级财政支持或</w:t>
      </w:r>
      <w:r>
        <w:rPr>
          <w:rFonts w:hint="eastAsia" w:ascii="Times New Roman" w:hAnsi="Times New Roman" w:eastAsia="仿宋_GB2312" w:cs="Times New Roman"/>
          <w:color w:val="auto"/>
          <w:lang w:eastAsia="zh-CN"/>
        </w:rPr>
        <w:t>奖励</w:t>
      </w:r>
      <w:r>
        <w:rPr>
          <w:rFonts w:ascii="Times New Roman" w:hAnsi="Times New Roman" w:eastAsia="仿宋_GB2312" w:cs="Times New Roman"/>
          <w:color w:val="auto"/>
          <w:lang w:eastAsia="zh-CN"/>
        </w:rPr>
        <w:t>资金。</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bookmarkStart w:id="1" w:name="_Hlk168386969"/>
      <w:bookmarkEnd w:id="1"/>
      <w:r>
        <w:rPr>
          <w:rFonts w:ascii="Times New Roman" w:hAnsi="Times New Roman" w:eastAsia="仿宋_GB2312" w:cs="Times New Roman"/>
          <w:color w:val="auto"/>
          <w:lang w:eastAsia="zh-CN"/>
        </w:rPr>
        <w:t>以上资料由申报单位自主提供并签署承诺书，确保资料的真实性和有效性。三亚市旅游和文化广电体育局会对相关资料进行核实，并结合相关部门意见、现场照片及视频等材料进行评审。如发现弄虚作假、恶意套取者，取消此次奖励资格，追回奖励资金，三年内不受理该申报单位及法人所有文艺类</w:t>
      </w:r>
      <w:r>
        <w:rPr>
          <w:rFonts w:hint="eastAsia" w:ascii="Times New Roman" w:hAnsi="Times New Roman" w:eastAsia="仿宋_GB2312" w:cs="Times New Roman"/>
          <w:color w:val="auto"/>
          <w:lang w:eastAsia="zh-CN"/>
        </w:rPr>
        <w:t>奖励</w:t>
      </w:r>
      <w:r>
        <w:rPr>
          <w:rFonts w:ascii="Times New Roman" w:hAnsi="Times New Roman" w:eastAsia="仿宋_GB2312" w:cs="Times New Roman"/>
          <w:color w:val="auto"/>
          <w:lang w:eastAsia="zh-CN"/>
        </w:rPr>
        <w:t>申请，涉嫌违法违规问题，移交相关部门处理。</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四、评审流程</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申报单位在海易兑平台线上提交申请奖励相关材料。</w:t>
      </w:r>
      <w:r>
        <w:rPr>
          <w:rFonts w:ascii="Times New Roman" w:hAnsi="Times New Roman" w:eastAsia="仿宋_GB2312" w:cs="Times New Roman"/>
          <w:color w:val="auto"/>
          <w:spacing w:val="2"/>
          <w:lang w:eastAsia="zh-CN"/>
        </w:rPr>
        <w:t>系统链接https://hqzc.wssp.hainan.gov.cn/#/home。</w:t>
      </w:r>
      <w:r>
        <w:rPr>
          <w:rFonts w:ascii="Times New Roman" w:hAnsi="Times New Roman" w:eastAsia="仿宋_GB2312" w:cs="Times New Roman"/>
          <w:color w:val="auto"/>
          <w:spacing w:val="-4"/>
          <w:lang w:eastAsia="zh-CN"/>
        </w:rPr>
        <w:t>经初核后，主管部门委托第三方审核申报材料，并组织专家评委召开评审会。评审结果在三亚市旅游和文化广电体育局</w:t>
      </w:r>
      <w:r>
        <w:rPr>
          <w:rFonts w:hint="eastAsia" w:ascii="Times New Roman" w:hAnsi="Times New Roman" w:eastAsia="仿宋_GB2312" w:cs="Times New Roman"/>
          <w:color w:val="auto"/>
          <w:spacing w:val="-4"/>
          <w:lang w:eastAsia="zh-CN"/>
        </w:rPr>
        <w:t>官网</w:t>
      </w:r>
      <w:r>
        <w:rPr>
          <w:rFonts w:hint="eastAsia" w:ascii="Times New Roman" w:hAnsi="Times New Roman" w:eastAsia="仿宋_GB2312" w:cs="Times New Roman"/>
          <w:color w:val="auto"/>
          <w:spacing w:val="-15"/>
          <w:lang w:eastAsia="zh-CN"/>
        </w:rPr>
        <w:t>及“海易兑”平台等相关渠道上</w:t>
      </w:r>
      <w:r>
        <w:rPr>
          <w:rFonts w:ascii="Times New Roman" w:hAnsi="Times New Roman" w:eastAsia="仿宋_GB2312" w:cs="Times New Roman"/>
          <w:color w:val="auto"/>
          <w:spacing w:val="-15"/>
          <w:lang w:eastAsia="zh-CN"/>
        </w:rPr>
        <w:t>进行公示，公示期为</w:t>
      </w:r>
      <w:r>
        <w:rPr>
          <w:rFonts w:ascii="Times New Roman" w:hAnsi="Times New Roman" w:eastAsia="仿宋_GB2312" w:cs="Times New Roman"/>
          <w:color w:val="auto"/>
          <w:lang w:eastAsia="zh-CN"/>
        </w:rPr>
        <w:t>5</w:t>
      </w:r>
      <w:r>
        <w:rPr>
          <w:rFonts w:ascii="Times New Roman" w:hAnsi="Times New Roman" w:eastAsia="仿宋_GB2312" w:cs="Times New Roman"/>
          <w:color w:val="auto"/>
          <w:spacing w:val="-15"/>
          <w:lang w:eastAsia="zh-CN"/>
        </w:rPr>
        <w:t>个工作日。公示期满无异议后，由</w:t>
      </w:r>
      <w:r>
        <w:rPr>
          <w:rFonts w:ascii="Times New Roman" w:hAnsi="Times New Roman" w:eastAsia="仿宋_GB2312" w:cs="Times New Roman"/>
          <w:color w:val="auto"/>
          <w:lang w:eastAsia="zh-CN"/>
        </w:rPr>
        <w:t>三亚市旅游和文化广电体育局</w:t>
      </w:r>
      <w:r>
        <w:rPr>
          <w:rFonts w:ascii="Times New Roman" w:hAnsi="Times New Roman" w:eastAsia="仿宋_GB2312" w:cs="Times New Roman"/>
          <w:color w:val="auto"/>
          <w:spacing w:val="-3"/>
          <w:lang w:eastAsia="zh-CN"/>
        </w:rPr>
        <w:t>按财政规定程序审核拨付。</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五、评委构成</w:t>
      </w:r>
    </w:p>
    <w:p>
      <w:pPr>
        <w:pStyle w:val="4"/>
        <w:spacing w:before="0" w:after="0" w:line="578" w:lineRule="exact"/>
        <w:ind w:left="0" w:firstLine="567" w:firstLineChars="182"/>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4"/>
          <w:lang w:eastAsia="zh-CN"/>
        </w:rPr>
        <w:t>（一）</w:t>
      </w:r>
      <w:r>
        <w:rPr>
          <w:rFonts w:ascii="Times New Roman" w:hAnsi="Times New Roman" w:eastAsia="仿宋_GB2312" w:cs="Times New Roman"/>
          <w:color w:val="auto"/>
          <w:lang w:eastAsia="zh-CN"/>
        </w:rPr>
        <w:t>三亚市旅游和文化广电体育局</w:t>
      </w:r>
      <w:r>
        <w:rPr>
          <w:rFonts w:ascii="Times New Roman" w:hAnsi="Times New Roman" w:eastAsia="仿宋_GB2312" w:cs="Times New Roman"/>
          <w:color w:val="auto"/>
          <w:spacing w:val="-4"/>
          <w:lang w:eastAsia="zh-CN"/>
        </w:rPr>
        <w:t>：负责审核参评项目在实施过</w:t>
      </w:r>
      <w:r>
        <w:rPr>
          <w:rFonts w:ascii="Times New Roman" w:hAnsi="Times New Roman" w:eastAsia="仿宋_GB2312" w:cs="Times New Roman"/>
          <w:color w:val="auto"/>
          <w:spacing w:val="-9"/>
          <w:lang w:eastAsia="zh-CN"/>
        </w:rPr>
        <w:t>程中的真实性，是否在审批、实施、结项过程中出现违纪、违规。</w:t>
      </w:r>
    </w:p>
    <w:p>
      <w:pPr>
        <w:pStyle w:val="4"/>
        <w:spacing w:before="0" w:after="0" w:line="578" w:lineRule="exact"/>
        <w:ind w:left="0" w:firstLine="582" w:firstLineChars="182"/>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（二）专业审计机构：负责审核参评项目提供的所有材料，核实相关数据的真实性。</w:t>
      </w:r>
    </w:p>
    <w:p>
      <w:pPr>
        <w:pStyle w:val="4"/>
        <w:spacing w:before="0" w:after="0" w:line="578" w:lineRule="exact"/>
        <w:ind w:left="0" w:firstLine="582" w:firstLineChars="182"/>
        <w:jc w:val="both"/>
        <w:rPr>
          <w:rFonts w:hint="default" w:ascii="Times New Roman" w:hAnsi="Times New Roman" w:eastAsia="仿宋_GB2312" w:cs="Times New Roman"/>
          <w:color w:val="auto"/>
          <w:lang w:eastAsia="zh-CN"/>
        </w:rPr>
      </w:pPr>
      <w:r>
        <w:rPr>
          <w:rFonts w:ascii="Times New Roman" w:hAnsi="Times New Roman" w:eastAsia="仿宋_GB2312" w:cs="Times New Roman"/>
          <w:color w:val="auto"/>
          <w:spacing w:val="0"/>
          <w:w w:val="100"/>
          <w:lang w:eastAsia="zh-CN"/>
        </w:rPr>
        <w:t>（三）</w:t>
      </w:r>
      <w:r>
        <w:rPr>
          <w:rFonts w:hint="default" w:ascii="Times New Roman" w:hAnsi="Times New Roman" w:eastAsia="仿宋_GB2312" w:cs="Times New Roman"/>
          <w:color w:val="auto"/>
          <w:spacing w:val="0"/>
          <w:w w:val="100"/>
          <w:lang w:eastAsia="zh-CN"/>
        </w:rPr>
        <w:t>三亚市行业管理、网信、执法、审批部门：</w:t>
      </w:r>
      <w:r>
        <w:rPr>
          <w:rFonts w:hint="default" w:ascii="Times New Roman" w:hAnsi="Times New Roman" w:eastAsia="仿宋_GB2312" w:cs="Times New Roman"/>
          <w:color w:val="auto"/>
          <w:spacing w:val="0"/>
          <w:lang w:eastAsia="zh-CN"/>
        </w:rPr>
        <w:t>对活动举办过程中出现的各类违法违规行为、相关投诉、风险评估报告、票务销售方案、“双实名制”落实情况声明及重大负面</w:t>
      </w:r>
      <w:r>
        <w:rPr>
          <w:rFonts w:hint="default" w:ascii="Times New Roman" w:hAnsi="Times New Roman" w:eastAsia="仿宋_GB2312" w:cs="Times New Roman"/>
          <w:color w:val="auto"/>
          <w:lang w:eastAsia="zh-CN"/>
        </w:rPr>
        <w:t>网络舆情进行审核。</w:t>
      </w:r>
    </w:p>
    <w:p>
      <w:pPr>
        <w:pStyle w:val="4"/>
        <w:spacing w:before="0" w:after="0" w:line="578" w:lineRule="exact"/>
        <w:ind w:left="0" w:firstLine="582" w:firstLineChars="182"/>
        <w:jc w:val="both"/>
        <w:rPr>
          <w:rFonts w:ascii="Times New Roman" w:hAnsi="Times New Roman" w:eastAsia="仿宋_GB2312" w:cs="Times New Roman"/>
          <w:color w:val="auto"/>
          <w:lang w:eastAsia="zh-CN"/>
        </w:rPr>
      </w:pPr>
      <w:r>
        <w:rPr>
          <w:rFonts w:hint="default" w:ascii="Times New Roman" w:hAnsi="Times New Roman" w:eastAsia="仿宋_GB2312" w:cs="Times New Roman"/>
          <w:color w:val="auto"/>
          <w:spacing w:val="0"/>
          <w:w w:val="100"/>
          <w:lang w:eastAsia="zh-CN"/>
        </w:rPr>
        <w:t>（四）演出行业专家：负责审核参评项目的社会效益和品牌</w:t>
      </w:r>
      <w:r>
        <w:rPr>
          <w:rFonts w:ascii="Times New Roman" w:hAnsi="Times New Roman" w:eastAsia="仿宋_GB2312" w:cs="Times New Roman"/>
          <w:color w:val="auto"/>
          <w:lang w:eastAsia="zh-CN"/>
        </w:rPr>
        <w:t>影响力。</w:t>
      </w:r>
    </w:p>
    <w:p>
      <w:pPr>
        <w:pStyle w:val="4"/>
        <w:spacing w:before="0" w:after="0" w:line="578" w:lineRule="exact"/>
        <w:ind w:left="0" w:firstLine="582" w:firstLineChars="182"/>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（五）根据实际情况邀请的其他专家（经济类、法律类等）和评审人员。</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六、附则</w:t>
      </w:r>
    </w:p>
    <w:p>
      <w:pPr>
        <w:pStyle w:val="4"/>
        <w:spacing w:before="0" w:after="0" w:line="578" w:lineRule="exact"/>
        <w:ind w:left="0" w:firstLine="672"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8"/>
          <w:lang w:eastAsia="zh-CN"/>
        </w:rPr>
        <w:t>原则上已获得其他三亚市级财政资金支持的项目，不再重复支</w:t>
      </w:r>
      <w:r>
        <w:rPr>
          <w:rFonts w:ascii="Times New Roman" w:hAnsi="Times New Roman" w:eastAsia="仿宋_GB2312" w:cs="Times New Roman"/>
          <w:color w:val="auto"/>
          <w:lang w:eastAsia="zh-CN"/>
        </w:rPr>
        <w:t>持。对于由财政资金支持开展的活动，不计入奖励范围。</w:t>
      </w:r>
    </w:p>
    <w:p>
      <w:pPr>
        <w:pStyle w:val="4"/>
        <w:spacing w:before="0" w:after="0" w:line="578" w:lineRule="exact"/>
        <w:ind w:left="0" w:firstLine="672"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8"/>
          <w:lang w:eastAsia="zh-CN"/>
        </w:rPr>
        <w:t>三亚市旅游和文化广电体育局负责本实施细则的具体实施</w:t>
      </w:r>
      <w:r>
        <w:rPr>
          <w:rFonts w:ascii="Times New Roman" w:hAnsi="Times New Roman" w:eastAsia="仿宋_GB2312" w:cs="Times New Roman"/>
          <w:color w:val="auto"/>
          <w:lang w:eastAsia="zh-CN"/>
        </w:rPr>
        <w:t>和解释工作，有效期至</w:t>
      </w:r>
      <w:r>
        <w:rPr>
          <w:rFonts w:hint="eastAsia" w:ascii="Times New Roman" w:hAnsi="Times New Roman" w:eastAsia="仿宋_GB2312" w:cs="Times New Roman"/>
          <w:color w:val="auto"/>
          <w:lang w:eastAsia="zh-CN"/>
        </w:rPr>
        <w:t>2025年</w:t>
      </w:r>
      <w:r>
        <w:rPr>
          <w:rFonts w:ascii="Times New Roman" w:hAnsi="Times New Roman" w:eastAsia="仿宋_GB2312" w:cs="Times New Roman"/>
          <w:color w:val="auto"/>
          <w:lang w:eastAsia="zh-CN"/>
        </w:rPr>
        <w:t>12月31日。</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p>
    <w:p>
      <w:pPr>
        <w:spacing w:after="0" w:line="578" w:lineRule="exact"/>
        <w:ind w:firstLine="640" w:firstLineChars="200"/>
        <w:rPr>
          <w:rFonts w:ascii="Times New Roman" w:hAnsi="Times New Roman" w:eastAsia="仿宋_GB2312" w:cs="Times New Roman"/>
          <w:color w:val="auto"/>
          <w:sz w:val="32"/>
          <w:lang w:eastAsia="zh-CN"/>
        </w:rPr>
      </w:pPr>
      <w:r>
        <w:rPr>
          <w:rFonts w:ascii="Times New Roman" w:hAnsi="Times New Roman" w:eastAsia="仿宋_GB2312" w:cs="Times New Roman"/>
          <w:color w:val="auto"/>
          <w:sz w:val="32"/>
          <w:lang w:eastAsia="zh-CN"/>
        </w:rPr>
        <w:t>附：1-1. 三亚市奖励资金申请表</w:t>
      </w:r>
    </w:p>
    <w:p>
      <w:pPr>
        <w:spacing w:after="0" w:line="578" w:lineRule="exact"/>
        <w:ind w:firstLine="1280" w:firstLineChars="400"/>
        <w:rPr>
          <w:rFonts w:ascii="Times New Roman" w:hAnsi="Times New Roman" w:eastAsia="仿宋_GB2312" w:cs="Times New Roman"/>
          <w:color w:val="auto"/>
          <w:sz w:val="32"/>
          <w:lang w:eastAsia="zh-CN"/>
        </w:rPr>
      </w:pPr>
      <w:r>
        <w:rPr>
          <w:rFonts w:ascii="Times New Roman" w:hAnsi="Times New Roman" w:eastAsia="仿宋_GB2312" w:cs="Times New Roman"/>
          <w:color w:val="auto"/>
          <w:sz w:val="32"/>
          <w:lang w:eastAsia="zh-CN"/>
        </w:rPr>
        <w:t>1-2. 奖励资金申请承诺表</w:t>
      </w:r>
    </w:p>
    <w:p>
      <w:pPr>
        <w:spacing w:after="0" w:line="578" w:lineRule="exact"/>
        <w:ind w:firstLine="1280" w:firstLineChars="400"/>
        <w:jc w:val="both"/>
        <w:rPr>
          <w:rFonts w:ascii="Times New Roman" w:hAnsi="Times New Roman" w:eastAsia="仿宋_GB2312" w:cs="Times New Roman"/>
          <w:color w:val="auto"/>
          <w:sz w:val="20"/>
          <w:szCs w:val="20"/>
          <w:lang w:eastAsia="zh-CN"/>
        </w:rPr>
      </w:pPr>
      <w:r>
        <w:rPr>
          <w:rFonts w:ascii="Times New Roman" w:hAnsi="Times New Roman" w:eastAsia="仿宋_GB2312" w:cs="Times New Roman"/>
          <w:color w:val="auto"/>
          <w:sz w:val="32"/>
          <w:lang w:eastAsia="zh-CN"/>
        </w:rPr>
        <w:t>1-3. 奖励资金申请书（通用格式）</w:t>
      </w:r>
    </w:p>
    <w:p>
      <w:pPr>
        <w:widowControl/>
        <w:spacing w:after="0" w:line="578" w:lineRule="exact"/>
        <w:rPr>
          <w:rFonts w:ascii="Times New Roman" w:hAnsi="Times New Roman" w:eastAsia="宋体" w:cs="Times New Roman"/>
          <w:color w:val="auto"/>
          <w:lang w:eastAsia="zh-CN"/>
        </w:rPr>
        <w:sectPr>
          <w:headerReference r:id="rId4" w:type="first"/>
          <w:footerReference r:id="rId6" w:type="first"/>
          <w:headerReference r:id="rId3" w:type="default"/>
          <w:footerReference r:id="rId5" w:type="default"/>
          <w:pgSz w:w="11910" w:h="16840"/>
          <w:pgMar w:top="2098" w:right="1474" w:bottom="1984" w:left="1587" w:header="0" w:footer="1417" w:gutter="0"/>
          <w:pgBorders>
            <w:top w:val="none" w:sz="0" w:space="0"/>
            <w:left w:val="none" w:sz="0" w:space="0"/>
            <w:bottom w:val="none" w:sz="0" w:space="0"/>
            <w:right w:val="none" w:sz="0" w:space="0"/>
          </w:pgBorders>
          <w:pgNumType w:fmt="decimal"/>
          <w:cols w:space="720" w:num="1"/>
          <w:titlePg/>
          <w:rtlGutter w:val="0"/>
          <w:docGrid w:linePitch="299" w:charSpace="0"/>
        </w:sectPr>
      </w:pPr>
    </w:p>
    <w:p>
      <w:pPr>
        <w:pStyle w:val="4"/>
        <w:spacing w:before="0" w:after="0" w:line="578" w:lineRule="exact"/>
        <w:ind w:left="0"/>
        <w:rPr>
          <w:rFonts w:ascii="Times New Roman" w:hAnsi="Times New Roman" w:eastAsia="黑体" w:cs="Times New Roman"/>
          <w:color w:val="auto"/>
          <w:lang w:eastAsia="zh-CN"/>
        </w:rPr>
        <w:sectPr>
          <w:headerReference r:id="rId8" w:type="first"/>
          <w:footerReference r:id="rId10" w:type="first"/>
          <w:headerReference r:id="rId7" w:type="default"/>
          <w:footerReference r:id="rId9" w:type="default"/>
          <w:type w:val="continuous"/>
          <w:pgSz w:w="11910" w:h="16840"/>
          <w:pgMar w:top="2098" w:right="1474" w:bottom="1984" w:left="1587" w:header="720" w:footer="720" w:gutter="0"/>
          <w:pgBorders>
            <w:top w:val="none" w:sz="0" w:space="0"/>
            <w:left w:val="none" w:sz="0" w:space="0"/>
            <w:bottom w:val="none" w:sz="0" w:space="0"/>
            <w:right w:val="none" w:sz="0" w:space="0"/>
          </w:pgBorders>
          <w:pgNumType w:fmt="decimal"/>
          <w:cols w:equalWidth="0" w:num="2">
            <w:col w:w="5961" w:space="970"/>
            <w:col w:w="1918"/>
          </w:cols>
          <w:docGrid w:linePitch="299" w:charSpace="0"/>
        </w:sectPr>
      </w:pPr>
    </w:p>
    <w:p>
      <w:pPr>
        <w:pStyle w:val="4"/>
        <w:spacing w:before="0" w:after="0" w:line="578" w:lineRule="exact"/>
        <w:ind w:left="0"/>
        <w:rPr>
          <w:rFonts w:ascii="Times New Roman" w:hAnsi="Times New Roman" w:eastAsia="黑体" w:cs="Times New Roman"/>
          <w:color w:val="auto"/>
          <w:lang w:eastAsia="zh-CN"/>
        </w:rPr>
      </w:pPr>
      <w:r>
        <w:rPr>
          <w:rFonts w:ascii="Times New Roman" w:hAnsi="Times New Roman" w:eastAsia="黑体" w:cs="Times New Roman"/>
          <w:color w:val="auto"/>
          <w:lang w:eastAsia="zh-CN"/>
        </w:rPr>
        <w:t>附1-1</w:t>
      </w:r>
    </w:p>
    <w:p>
      <w:pPr>
        <w:pStyle w:val="3"/>
        <w:spacing w:after="0" w:line="578" w:lineRule="exact"/>
        <w:ind w:left="1701" w:right="-598" w:rightChars="-187"/>
        <w:jc w:val="both"/>
        <w:rPr>
          <w:rFonts w:ascii="Times New Roman" w:hAnsi="Times New Roman" w:cs="Times New Roman"/>
          <w:color w:val="auto"/>
          <w:lang w:eastAsia="zh-CN"/>
        </w:rPr>
      </w:pPr>
      <w:r>
        <w:rPr>
          <w:rFonts w:ascii="Times New Roman" w:hAnsi="Times New Roman" w:cs="Times New Roman"/>
          <w:color w:val="auto"/>
          <w:w w:val="95"/>
          <w:lang w:eastAsia="zh-CN"/>
        </w:rPr>
        <w:t>三亚市奖励资金申请表</w:t>
      </w:r>
    </w:p>
    <w:p>
      <w:pPr>
        <w:spacing w:after="0" w:line="578" w:lineRule="exact"/>
        <w:rPr>
          <w:rFonts w:ascii="Times New Roman" w:hAnsi="Times New Roman" w:eastAsia="方正小标宋简体" w:cs="Times New Roman"/>
          <w:color w:val="auto"/>
          <w:sz w:val="28"/>
          <w:szCs w:val="28"/>
          <w:lang w:eastAsia="zh-CN"/>
        </w:rPr>
      </w:pPr>
    </w:p>
    <w:p>
      <w:pPr>
        <w:tabs>
          <w:tab w:val="left" w:pos="847"/>
          <w:tab w:val="left" w:pos="1545"/>
        </w:tabs>
        <w:spacing w:after="0" w:line="578" w:lineRule="exact"/>
        <w:ind w:left="0"/>
        <w:rPr>
          <w:rFonts w:ascii="Times New Roman" w:hAnsi="Times New Roman" w:eastAsia="仿宋_GB2312" w:cs="Times New Roman"/>
          <w:color w:val="auto"/>
          <w:sz w:val="28"/>
          <w:szCs w:val="28"/>
          <w:lang w:eastAsia="zh-CN"/>
        </w:rPr>
      </w:pPr>
    </w:p>
    <w:p>
      <w:pPr>
        <w:tabs>
          <w:tab w:val="left" w:pos="847"/>
          <w:tab w:val="left" w:pos="1545"/>
        </w:tabs>
        <w:spacing w:after="0" w:line="578" w:lineRule="exact"/>
        <w:ind w:left="146"/>
        <w:rPr>
          <w:rFonts w:ascii="Times New Roman" w:hAnsi="Times New Roman" w:eastAsia="仿宋_GB2312" w:cs="Times New Roman"/>
          <w:color w:val="auto"/>
          <w:sz w:val="28"/>
          <w:szCs w:val="28"/>
          <w:lang w:eastAsia="zh-CN"/>
        </w:rPr>
      </w:pPr>
    </w:p>
    <w:p>
      <w:pPr>
        <w:tabs>
          <w:tab w:val="left" w:pos="847"/>
          <w:tab w:val="left" w:pos="1545"/>
        </w:tabs>
        <w:spacing w:after="0" w:line="578" w:lineRule="exact"/>
        <w:ind w:left="146"/>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年</w:t>
      </w:r>
      <w:r>
        <w:rPr>
          <w:rFonts w:ascii="Times New Roman" w:hAnsi="Times New Roman" w:eastAsia="仿宋_GB2312" w:cs="Times New Roman"/>
          <w:color w:val="auto"/>
          <w:sz w:val="28"/>
          <w:szCs w:val="28"/>
          <w:lang w:eastAsia="zh-CN"/>
        </w:rPr>
        <w:tab/>
      </w:r>
      <w:r>
        <w:rPr>
          <w:rFonts w:ascii="Times New Roman" w:hAnsi="Times New Roman" w:eastAsia="仿宋_GB2312" w:cs="Times New Roman"/>
          <w:color w:val="auto"/>
          <w:sz w:val="28"/>
          <w:szCs w:val="28"/>
          <w:lang w:eastAsia="zh-CN"/>
        </w:rPr>
        <w:t>月</w:t>
      </w:r>
      <w:r>
        <w:rPr>
          <w:rFonts w:ascii="Times New Roman" w:hAnsi="Times New Roman" w:eastAsia="仿宋_GB2312" w:cs="Times New Roman"/>
          <w:color w:val="auto"/>
          <w:sz w:val="28"/>
          <w:szCs w:val="28"/>
          <w:lang w:eastAsia="zh-CN"/>
        </w:rPr>
        <w:tab/>
      </w:r>
      <w:r>
        <w:rPr>
          <w:rFonts w:ascii="Times New Roman" w:hAnsi="Times New Roman" w:eastAsia="仿宋_GB2312" w:cs="Times New Roman"/>
          <w:color w:val="auto"/>
          <w:sz w:val="28"/>
          <w:szCs w:val="28"/>
          <w:lang w:eastAsia="zh-CN"/>
        </w:rPr>
        <w:t>日</w:t>
      </w:r>
    </w:p>
    <w:p>
      <w:pPr>
        <w:spacing w:after="0" w:line="578" w:lineRule="exact"/>
        <w:rPr>
          <w:rFonts w:ascii="Times New Roman" w:hAnsi="Times New Roman" w:eastAsia="仿宋_GB2312" w:cs="Times New Roman"/>
          <w:color w:val="auto"/>
          <w:sz w:val="28"/>
          <w:szCs w:val="28"/>
          <w:lang w:eastAsia="zh-CN"/>
        </w:rPr>
        <w:sectPr>
          <w:pgSz w:w="11910" w:h="16840"/>
          <w:pgMar w:top="2098" w:right="1474" w:bottom="1984" w:left="1587" w:header="720" w:footer="1417" w:gutter="0"/>
          <w:pgBorders>
            <w:top w:val="none" w:sz="0" w:space="0"/>
            <w:left w:val="none" w:sz="0" w:space="0"/>
            <w:bottom w:val="none" w:sz="0" w:space="0"/>
            <w:right w:val="none" w:sz="0" w:space="0"/>
          </w:pgBorders>
          <w:pgNumType w:fmt="decimal"/>
          <w:cols w:equalWidth="0" w:num="2">
            <w:col w:w="5961" w:space="970"/>
            <w:col w:w="1918"/>
          </w:cols>
          <w:docGrid w:linePitch="299" w:charSpace="0"/>
        </w:sectPr>
      </w:pPr>
    </w:p>
    <w:tbl>
      <w:tblPr>
        <w:tblStyle w:val="8"/>
        <w:tblW w:w="8923" w:type="dxa"/>
        <w:jc w:val="center"/>
        <w:tblLayout w:type="fixed"/>
        <w:tblCellMar>
          <w:top w:w="0" w:type="dxa"/>
          <w:left w:w="0" w:type="dxa"/>
          <w:bottom w:w="0" w:type="dxa"/>
          <w:right w:w="0" w:type="dxa"/>
        </w:tblCellMar>
      </w:tblPr>
      <w:tblGrid>
        <w:gridCol w:w="2112"/>
        <w:gridCol w:w="1324"/>
        <w:gridCol w:w="1658"/>
        <w:gridCol w:w="1958"/>
        <w:gridCol w:w="1871"/>
      </w:tblGrid>
      <w:tr>
        <w:tblPrEx>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103"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b/>
                <w:bCs/>
                <w:color w:val="auto"/>
                <w:sz w:val="24"/>
                <w:szCs w:val="24"/>
                <w:lang w:eastAsia="zh-CN"/>
              </w:rPr>
              <w:t>一、申报单位基本情况</w:t>
            </w:r>
          </w:p>
        </w:tc>
      </w:tr>
      <w:tr>
        <w:tblPrEx>
          <w:tblCellMar>
            <w:top w:w="0" w:type="dxa"/>
            <w:left w:w="0" w:type="dxa"/>
            <w:bottom w:w="0" w:type="dxa"/>
            <w:right w:w="0" w:type="dxa"/>
          </w:tblCellMar>
        </w:tblPrEx>
        <w:trPr>
          <w:trHeight w:val="625"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1231"/>
              </w:tabs>
              <w:spacing w:before="0" w:beforeAutospacing="0" w:after="0" w:afterAutospacing="0" w:line="240" w:lineRule="auto"/>
              <w:ind w:left="63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名</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称</w:t>
            </w:r>
          </w:p>
        </w:tc>
        <w:tc>
          <w:tcPr>
            <w:tcW w:w="2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493"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主管部门</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331" w:right="101" w:hanging="22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pacing w:val="-3"/>
                <w:sz w:val="24"/>
                <w:szCs w:val="24"/>
                <w:lang w:eastAsia="zh-CN"/>
              </w:rPr>
              <w:t>单位性质（在正确</w:t>
            </w:r>
            <w:r>
              <w:rPr>
                <w:rFonts w:hint="default" w:ascii="Times New Roman" w:hAnsi="Times New Roman" w:eastAsia="仿宋_GB2312" w:cs="Times New Roman"/>
                <w:color w:val="auto"/>
                <w:sz w:val="24"/>
                <w:szCs w:val="24"/>
                <w:lang w:eastAsia="zh-CN"/>
              </w:rPr>
              <w:t>的位置划√）</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3583"/>
                <w:tab w:val="left" w:pos="4183"/>
                <w:tab w:val="left" w:pos="5263"/>
              </w:tabs>
              <w:spacing w:before="0" w:beforeAutospacing="0" w:after="0" w:afterAutospacing="0" w:line="240" w:lineRule="auto"/>
              <w:ind w:left="103" w:right="1176"/>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全部或主要资金来源：国有（</w:t>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非国有（</w:t>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）其他（划√并请注明</w:t>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w:t>
            </w:r>
          </w:p>
        </w:tc>
      </w:tr>
      <w:tr>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57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法人类型</w:t>
            </w:r>
          </w:p>
        </w:tc>
        <w:tc>
          <w:tcPr>
            <w:tcW w:w="2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firstLine="240" w:firstLineChars="10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法人登记机关</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57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设立时间</w:t>
            </w:r>
          </w:p>
        </w:tc>
        <w:tc>
          <w:tcPr>
            <w:tcW w:w="29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1423"/>
                <w:tab w:val="left" w:pos="1903"/>
              </w:tabs>
              <w:spacing w:before="0" w:beforeAutospacing="0" w:after="0" w:afterAutospacing="0" w:line="240" w:lineRule="auto"/>
              <w:ind w:left="943"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firstLine="240" w:firstLineChars="10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正式开放时间</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1422"/>
              </w:tabs>
              <w:spacing w:before="0" w:beforeAutospacing="0" w:after="0" w:afterAutospacing="0" w:line="240" w:lineRule="auto"/>
              <w:ind w:left="822"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p>
        </w:tc>
      </w:tr>
      <w:tr>
        <w:tblPrEx>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57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通讯地址</w:t>
            </w:r>
          </w:p>
        </w:tc>
        <w:tc>
          <w:tcPr>
            <w:tcW w:w="2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邮编</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57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固定电话</w:t>
            </w:r>
          </w:p>
        </w:tc>
        <w:tc>
          <w:tcPr>
            <w:tcW w:w="2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传真</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69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联系人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357"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姓名</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493" w:right="0"/>
              <w:jc w:val="both"/>
              <w:rPr>
                <w:rFonts w:hint="default" w:ascii="Times New Roman" w:hAnsi="Times New Roman" w:eastAsia="仿宋_GB2312" w:cs="Times New Roman"/>
                <w:color w:val="auto"/>
                <w:sz w:val="24"/>
                <w:szCs w:val="20"/>
                <w:lang w:val="en-US" w:eastAsia="zh-CN"/>
              </w:rPr>
            </w:pPr>
            <w:r>
              <w:rPr>
                <w:rFonts w:hint="default" w:ascii="Times New Roman" w:hAnsi="Times New Roman" w:eastAsia="仿宋_GB2312" w:cs="Times New Roman"/>
                <w:color w:val="auto"/>
                <w:sz w:val="24"/>
                <w:szCs w:val="24"/>
              </w:rPr>
              <w:t>联系电话</w:t>
            </w:r>
            <w:r>
              <w:rPr>
                <w:rFonts w:hint="default" w:ascii="Times New Roman" w:hAnsi="Times New Roman" w:eastAsia="仿宋_GB2312" w:cs="Times New Roman"/>
                <w:color w:val="auto"/>
                <w:sz w:val="24"/>
                <w:szCs w:val="24"/>
                <w:lang w:val="en-US" w:eastAsia="zh-CN"/>
              </w:rPr>
              <w:t xml:space="preserve"> </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103"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b/>
                <w:bCs/>
                <w:color w:val="auto"/>
                <w:sz w:val="24"/>
                <w:szCs w:val="24"/>
                <w:lang w:eastAsia="zh-CN"/>
              </w:rPr>
              <w:t>二、申报活动基本情况</w:t>
            </w:r>
          </w:p>
        </w:tc>
      </w:tr>
      <w:tr>
        <w:tblPrEx>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331" w:right="0"/>
              <w:jc w:val="both"/>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申报</w:t>
            </w:r>
            <w:r>
              <w:rPr>
                <w:rFonts w:hint="default" w:ascii="Times New Roman" w:hAnsi="Times New Roman" w:eastAsia="仿宋_GB2312" w:cs="Times New Roman"/>
                <w:color w:val="auto"/>
                <w:sz w:val="24"/>
                <w:szCs w:val="24"/>
                <w:lang w:eastAsia="zh-CN"/>
              </w:rPr>
              <w:t>活动</w:t>
            </w:r>
            <w:r>
              <w:rPr>
                <w:rFonts w:hint="default" w:ascii="Times New Roman" w:hAnsi="Times New Roman" w:eastAsia="仿宋_GB2312" w:cs="Times New Roman"/>
                <w:color w:val="auto"/>
                <w:sz w:val="24"/>
                <w:szCs w:val="24"/>
              </w:rPr>
              <w:t>名称</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331"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活动举办时间</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331"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活动举办地点</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rPr>
            </w:pPr>
          </w:p>
        </w:tc>
      </w:tr>
      <w:tr>
        <w:tblPrEx>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139" w:right="0" w:hanging="36"/>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项目资金来源（在</w:t>
            </w:r>
          </w:p>
          <w:p>
            <w:pPr>
              <w:pStyle w:val="10"/>
              <w:keepNext w:val="0"/>
              <w:keepLines w:val="0"/>
              <w:suppressLineNumbers w:val="0"/>
              <w:spacing w:before="0" w:beforeAutospacing="0" w:after="0" w:afterAutospacing="0" w:line="240" w:lineRule="auto"/>
              <w:ind w:left="139"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pacing w:val="-11"/>
                <w:sz w:val="24"/>
                <w:szCs w:val="24"/>
                <w:lang w:eastAsia="zh-CN"/>
              </w:rPr>
              <w:t>正确的位置划√）</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cs="Times New Roman"/>
                <w:color w:val="auto"/>
                <w:szCs w:val="20"/>
                <w:lang w:eastAsia="zh-CN"/>
              </w:rPr>
            </w:pPr>
            <w:r>
              <w:rPr>
                <w:rFonts w:hint="default" w:ascii="Times New Roman" w:hAnsi="Times New Roman" w:eastAsia="仿宋_GB2312" w:cs="Times New Roman"/>
                <w:color w:val="auto"/>
                <w:sz w:val="24"/>
                <w:szCs w:val="24"/>
                <w:lang w:eastAsia="zh-CN"/>
              </w:rPr>
              <w:t>举办总费用</w:t>
            </w:r>
            <w:r>
              <w:rPr>
                <w:rFonts w:hint="default" w:ascii="Times New Roman" w:hAnsi="Times New Roman" w:eastAsia="仿宋_GB2312" w:cs="Times New Roman"/>
                <w:color w:val="auto"/>
                <w:sz w:val="24"/>
                <w:szCs w:val="24"/>
                <w:u w:val="single" w:color="181818"/>
                <w:lang w:eastAsia="zh-CN"/>
              </w:rPr>
              <w:tab/>
            </w:r>
            <w:r>
              <w:rPr>
                <w:rFonts w:hint="default" w:ascii="Times New Roman" w:hAnsi="Times New Roman" w:eastAsia="仿宋_GB2312" w:cs="Times New Roman"/>
                <w:color w:val="auto"/>
                <w:sz w:val="24"/>
                <w:szCs w:val="24"/>
                <w:u w:val="single" w:color="181818"/>
                <w:lang w:eastAsia="zh-CN"/>
              </w:rPr>
              <w:t xml:space="preserve">       </w:t>
            </w:r>
            <w:r>
              <w:rPr>
                <w:rFonts w:hint="default" w:ascii="Times New Roman" w:hAnsi="Times New Roman" w:eastAsia="仿宋_GB2312" w:cs="Times New Roman"/>
                <w:color w:val="auto"/>
                <w:spacing w:val="-12"/>
                <w:sz w:val="24"/>
                <w:szCs w:val="24"/>
                <w:lang w:eastAsia="zh-CN"/>
              </w:rPr>
              <w:t xml:space="preserve">万元，全部或主要资金来源：自筹（  </w:t>
            </w:r>
            <w:r>
              <w:rPr>
                <w:rFonts w:hint="default" w:ascii="Times New Roman" w:hAnsi="Times New Roman" w:eastAsia="仿宋_GB2312" w:cs="Times New Roman"/>
                <w:color w:val="auto"/>
                <w:sz w:val="24"/>
                <w:szCs w:val="24"/>
                <w:lang w:eastAsia="zh-CN"/>
              </w:rPr>
              <w:t>）</w:t>
            </w:r>
          </w:p>
          <w:p>
            <w:pPr>
              <w:keepNext w:val="0"/>
              <w:keepLines w:val="0"/>
              <w:suppressLineNumbers w:val="0"/>
              <w:spacing w:before="0" w:beforeAutospacing="0" w:after="0" w:afterAutospacing="0" w:line="240" w:lineRule="auto"/>
              <w:ind w:left="103"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社会捐赠</w:t>
            </w:r>
            <w:r>
              <w:rPr>
                <w:rFonts w:hint="default" w:ascii="Times New Roman" w:hAnsi="Times New Roman" w:eastAsia="仿宋_GB2312" w:cs="Times New Roman"/>
                <w:color w:val="auto"/>
                <w:spacing w:val="-12"/>
                <w:sz w:val="24"/>
                <w:szCs w:val="24"/>
                <w:lang w:eastAsia="zh-CN"/>
              </w:rPr>
              <w:t xml:space="preserve">（   </w:t>
            </w:r>
            <w:r>
              <w:rPr>
                <w:rFonts w:hint="default" w:ascii="Times New Roman" w:hAnsi="Times New Roman" w:eastAsia="仿宋_GB2312" w:cs="Times New Roman"/>
                <w:color w:val="auto"/>
                <w:sz w:val="24"/>
                <w:szCs w:val="24"/>
                <w:lang w:eastAsia="zh-CN"/>
              </w:rPr>
              <w:t>）其他</w:t>
            </w:r>
            <w:r>
              <w:rPr>
                <w:rFonts w:hint="default" w:ascii="Times New Roman" w:hAnsi="Times New Roman" w:eastAsia="仿宋_GB2312" w:cs="Times New Roman"/>
                <w:color w:val="auto"/>
                <w:spacing w:val="-12"/>
                <w:sz w:val="24"/>
                <w:szCs w:val="24"/>
                <w:lang w:eastAsia="zh-CN"/>
              </w:rPr>
              <w:t xml:space="preserve">（   </w:t>
            </w:r>
            <w:r>
              <w:rPr>
                <w:rFonts w:hint="default" w:ascii="Times New Roman" w:hAnsi="Times New Roman" w:eastAsia="仿宋_GB2312" w:cs="Times New Roman"/>
                <w:color w:val="auto"/>
                <w:sz w:val="24"/>
                <w:szCs w:val="24"/>
                <w:lang w:eastAsia="zh-CN"/>
              </w:rPr>
              <w:t>）（如划√并请注明</w:t>
            </w:r>
            <w:r>
              <w:rPr>
                <w:rFonts w:hint="default" w:ascii="Times New Roman" w:hAnsi="Times New Roman" w:eastAsia="仿宋_GB2312" w:cs="Times New Roman"/>
                <w:color w:val="auto"/>
                <w:sz w:val="24"/>
                <w:szCs w:val="24"/>
                <w:lang w:eastAsia="zh-CN"/>
              </w:rPr>
              <w:tab/>
            </w:r>
            <w:r>
              <w:rPr>
                <w:rFonts w:hint="default" w:ascii="Times New Roman" w:hAnsi="Times New Roman" w:eastAsia="仿宋_GB2312" w:cs="Times New Roman"/>
                <w:color w:val="auto"/>
                <w:sz w:val="24"/>
                <w:szCs w:val="24"/>
                <w:lang w:eastAsia="zh-CN"/>
              </w:rPr>
              <w:t>）</w:t>
            </w:r>
          </w:p>
        </w:tc>
      </w:tr>
      <w:tr>
        <w:tblPrEx>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11"/>
                <w:sz w:val="24"/>
                <w:szCs w:val="20"/>
                <w:lang w:eastAsia="zh-CN"/>
              </w:rPr>
            </w:pPr>
            <w:r>
              <w:rPr>
                <w:rFonts w:hint="default" w:ascii="Times New Roman" w:hAnsi="Times New Roman" w:eastAsia="仿宋_GB2312" w:cs="Times New Roman"/>
                <w:color w:val="auto"/>
                <w:spacing w:val="-11"/>
                <w:sz w:val="24"/>
                <w:szCs w:val="24"/>
                <w:lang w:eastAsia="zh-CN"/>
              </w:rPr>
              <w:t>符合奖励标准的条款</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2023"/>
                <w:tab w:val="left" w:pos="5920"/>
                <w:tab w:val="left" w:pos="6460"/>
              </w:tabs>
              <w:spacing w:before="0" w:beforeAutospacing="0" w:after="0" w:afterAutospacing="0" w:line="240" w:lineRule="auto"/>
              <w:ind w:left="103"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（请逐一罗列）</w:t>
            </w:r>
          </w:p>
        </w:tc>
      </w:tr>
      <w:tr>
        <w:tblPrEx>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申请奖励金额</w:t>
            </w:r>
          </w:p>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（万元）</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szCs w:val="20"/>
                <w:lang w:eastAsia="zh-CN"/>
              </w:rPr>
            </w:pPr>
          </w:p>
        </w:tc>
      </w:tr>
      <w:tr>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103" w:right="0"/>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b/>
                <w:bCs/>
                <w:color w:val="auto"/>
                <w:sz w:val="24"/>
                <w:szCs w:val="24"/>
                <w:lang w:eastAsia="zh-CN"/>
              </w:rPr>
              <w:t>三、申报活动举办效果</w:t>
            </w:r>
          </w:p>
        </w:tc>
      </w:tr>
      <w:tr>
        <w:tblPrEx>
          <w:tblCellMar>
            <w:top w:w="0" w:type="dxa"/>
            <w:left w:w="0" w:type="dxa"/>
            <w:bottom w:w="0" w:type="dxa"/>
            <w:right w:w="0" w:type="dxa"/>
          </w:tblCellMar>
        </w:tblPrEx>
        <w:trPr>
          <w:trHeight w:val="1210" w:hRule="exact"/>
          <w:jc w:val="center"/>
        </w:trPr>
        <w:tc>
          <w:tcPr>
            <w:tcW w:w="2112"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0"/>
              </w:rPr>
            </w:pPr>
            <w:r>
              <w:rPr>
                <w:rFonts w:hint="default" w:ascii="Times New Roman" w:hAnsi="Times New Roman" w:eastAsia="仿宋_GB2312" w:cs="Times New Roman"/>
                <w:color w:val="auto"/>
                <w:sz w:val="24"/>
                <w:szCs w:val="24"/>
              </w:rPr>
              <w:t>项目</w:t>
            </w:r>
            <w:r>
              <w:rPr>
                <w:rFonts w:hint="default" w:ascii="Times New Roman" w:hAnsi="Times New Roman" w:eastAsia="仿宋_GB2312" w:cs="Times New Roman"/>
                <w:color w:val="auto"/>
                <w:sz w:val="24"/>
                <w:szCs w:val="24"/>
                <w:lang w:eastAsia="zh-CN"/>
              </w:rPr>
              <w:t>基本</w:t>
            </w:r>
            <w:r>
              <w:rPr>
                <w:rFonts w:hint="default" w:ascii="Times New Roman" w:hAnsi="Times New Roman" w:eastAsia="仿宋_GB2312" w:cs="Times New Roman"/>
                <w:color w:val="auto"/>
                <w:sz w:val="24"/>
                <w:szCs w:val="24"/>
              </w:rPr>
              <w:t>情况</w:t>
            </w:r>
          </w:p>
        </w:tc>
        <w:tc>
          <w:tcPr>
            <w:tcW w:w="681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tabs>
                <w:tab w:val="left" w:pos="3823"/>
                <w:tab w:val="left" w:pos="6187"/>
              </w:tabs>
              <w:spacing w:before="0" w:beforeAutospacing="0" w:after="0" w:afterAutospacing="0" w:line="240" w:lineRule="auto"/>
              <w:ind w:left="103" w:right="-17"/>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pacing w:val="-13"/>
                <w:sz w:val="24"/>
                <w:szCs w:val="24"/>
                <w:lang w:eastAsia="zh-CN"/>
              </w:rPr>
              <w:t>活动举办期间累计参观总人数</w:t>
            </w:r>
            <w:r>
              <w:rPr>
                <w:rFonts w:hint="default" w:ascii="Times New Roman" w:hAnsi="Times New Roman" w:eastAsia="仿宋_GB2312" w:cs="Times New Roman"/>
                <w:color w:val="auto"/>
                <w:spacing w:val="-13"/>
                <w:sz w:val="24"/>
                <w:szCs w:val="24"/>
                <w:u w:val="single" w:color="181818"/>
                <w:lang w:eastAsia="zh-CN"/>
              </w:rPr>
              <w:tab/>
            </w:r>
            <w:r>
              <w:rPr>
                <w:rFonts w:hint="default" w:ascii="Times New Roman" w:hAnsi="Times New Roman" w:eastAsia="仿宋_GB2312" w:cs="Times New Roman"/>
                <w:color w:val="auto"/>
                <w:spacing w:val="-13"/>
                <w:sz w:val="24"/>
                <w:szCs w:val="24"/>
                <w:lang w:eastAsia="zh-CN"/>
              </w:rPr>
              <w:t>万人次，举办时长</w:t>
            </w:r>
            <w:r>
              <w:rPr>
                <w:rFonts w:hint="default" w:ascii="Times New Roman" w:hAnsi="Times New Roman" w:eastAsia="仿宋_GB2312" w:cs="Times New Roman"/>
                <w:color w:val="auto"/>
                <w:spacing w:val="-13"/>
                <w:sz w:val="24"/>
                <w:szCs w:val="24"/>
                <w:u w:val="single" w:color="181818"/>
                <w:lang w:eastAsia="zh-CN"/>
              </w:rPr>
              <w:tab/>
            </w:r>
            <w:r>
              <w:rPr>
                <w:rFonts w:hint="default" w:ascii="Times New Roman" w:hAnsi="Times New Roman" w:eastAsia="仿宋_GB2312" w:cs="Times New Roman"/>
                <w:color w:val="auto"/>
                <w:spacing w:val="-6"/>
                <w:sz w:val="24"/>
                <w:szCs w:val="24"/>
                <w:lang w:eastAsia="zh-CN"/>
              </w:rPr>
              <w:t>天，</w:t>
            </w:r>
          </w:p>
          <w:p>
            <w:pPr>
              <w:pStyle w:val="10"/>
              <w:keepNext w:val="0"/>
              <w:keepLines w:val="0"/>
              <w:suppressLineNumbers w:val="0"/>
              <w:tabs>
                <w:tab w:val="left" w:pos="1303"/>
                <w:tab w:val="left" w:pos="2743"/>
                <w:tab w:val="left" w:pos="5858"/>
              </w:tabs>
              <w:spacing w:before="0" w:beforeAutospacing="0" w:after="0" w:afterAutospacing="0" w:line="240" w:lineRule="auto"/>
              <w:ind w:left="103" w:right="-17"/>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累计每场平均人数</w:t>
            </w:r>
            <w:r>
              <w:rPr>
                <w:rFonts w:hint="default" w:ascii="Times New Roman" w:hAnsi="Times New Roman" w:eastAsia="仿宋_GB2312" w:cs="Times New Roman"/>
                <w:color w:val="auto"/>
                <w:sz w:val="24"/>
                <w:szCs w:val="24"/>
                <w:u w:val="single" w:color="181818"/>
                <w:lang w:eastAsia="zh-CN"/>
              </w:rPr>
              <w:tab/>
            </w:r>
            <w:r>
              <w:rPr>
                <w:rFonts w:hint="default" w:ascii="Times New Roman" w:hAnsi="Times New Roman" w:eastAsia="仿宋_GB2312" w:cs="Times New Roman"/>
                <w:color w:val="auto"/>
                <w:spacing w:val="-1"/>
                <w:sz w:val="24"/>
                <w:szCs w:val="24"/>
                <w:lang w:eastAsia="zh-CN"/>
              </w:rPr>
              <w:t>万人次；岛外观众人数累计</w:t>
            </w:r>
            <w:r>
              <w:rPr>
                <w:rFonts w:hint="default" w:ascii="Times New Roman" w:hAnsi="Times New Roman" w:eastAsia="仿宋_GB2312" w:cs="Times New Roman"/>
                <w:color w:val="auto"/>
                <w:spacing w:val="-1"/>
                <w:sz w:val="24"/>
                <w:szCs w:val="24"/>
                <w:u w:val="single" w:color="181818"/>
                <w:lang w:eastAsia="zh-CN"/>
              </w:rPr>
              <w:tab/>
            </w:r>
            <w:r>
              <w:rPr>
                <w:rFonts w:hint="default" w:ascii="Times New Roman" w:hAnsi="Times New Roman" w:eastAsia="仿宋_GB2312" w:cs="Times New Roman"/>
                <w:color w:val="auto"/>
                <w:sz w:val="24"/>
                <w:szCs w:val="24"/>
                <w:lang w:eastAsia="zh-CN"/>
              </w:rPr>
              <w:t>万人次，占比</w:t>
            </w:r>
            <w:r>
              <w:rPr>
                <w:rFonts w:hint="default" w:ascii="Times New Roman" w:hAnsi="Times New Roman" w:eastAsia="仿宋_GB2312" w:cs="Times New Roman"/>
                <w:color w:val="auto"/>
                <w:sz w:val="24"/>
                <w:szCs w:val="24"/>
                <w:u w:val="single" w:color="181818"/>
                <w:lang w:eastAsia="zh-CN"/>
              </w:rPr>
              <w:tab/>
            </w:r>
            <w:r>
              <w:rPr>
                <w:rFonts w:hint="default" w:ascii="Times New Roman" w:hAnsi="Times New Roman" w:eastAsia="仿宋_GB2312" w:cs="Times New Roman"/>
                <w:color w:val="auto"/>
                <w:sz w:val="24"/>
                <w:szCs w:val="24"/>
                <w:lang w:eastAsia="zh-CN"/>
              </w:rPr>
              <w:t>%。</w:t>
            </w:r>
          </w:p>
        </w:tc>
      </w:tr>
      <w:tr>
        <w:tblPrEx>
          <w:tblCellMar>
            <w:top w:w="0" w:type="dxa"/>
            <w:left w:w="0" w:type="dxa"/>
            <w:bottom w:w="0" w:type="dxa"/>
            <w:right w:w="0" w:type="dxa"/>
          </w:tblCellMar>
        </w:tblPrEx>
        <w:trPr>
          <w:trHeight w:val="505" w:hRule="exact"/>
          <w:jc w:val="center"/>
        </w:trPr>
        <w:tc>
          <w:tcPr>
            <w:tcW w:w="8923" w:type="dxa"/>
            <w:gridSpan w:val="5"/>
            <w:tcBorders>
              <w:top w:val="single" w:color="000000" w:sz="4" w:space="0"/>
              <w:left w:val="single" w:color="000000" w:sz="4" w:space="0"/>
              <w:bottom w:val="single" w:color="auto" w:sz="4" w:space="0"/>
              <w:right w:val="single" w:color="000000" w:sz="4" w:space="0"/>
            </w:tcBorders>
            <w:noWrap w:val="0"/>
            <w:vAlign w:val="center"/>
          </w:tcPr>
          <w:p>
            <w:pPr>
              <w:pStyle w:val="10"/>
              <w:keepNext w:val="0"/>
              <w:keepLines w:val="0"/>
              <w:suppressLineNumbers w:val="0"/>
              <w:spacing w:before="0" w:beforeAutospacing="0" w:after="0" w:afterAutospacing="0" w:line="240" w:lineRule="auto"/>
              <w:ind w:left="103" w:right="0"/>
              <w:jc w:val="both"/>
              <w:rPr>
                <w:rFonts w:hint="default" w:ascii="Times New Roman" w:hAnsi="Times New Roman" w:eastAsia="仿宋_GB2312" w:cs="Times New Roman"/>
                <w:b/>
                <w:bCs/>
                <w:color w:val="auto"/>
                <w:sz w:val="24"/>
                <w:szCs w:val="20"/>
                <w:lang w:eastAsia="zh-CN"/>
              </w:rPr>
            </w:pPr>
            <w:r>
              <w:rPr>
                <w:rFonts w:hint="default" w:ascii="Times New Roman" w:hAnsi="Times New Roman" w:eastAsia="仿宋_GB2312" w:cs="Times New Roman"/>
                <w:b/>
                <w:bCs/>
                <w:color w:val="auto"/>
                <w:sz w:val="24"/>
                <w:szCs w:val="24"/>
                <w:lang w:eastAsia="zh-CN"/>
              </w:rPr>
              <w:t>四、申报相关认定文件</w:t>
            </w:r>
          </w:p>
        </w:tc>
      </w:tr>
      <w:tr>
        <w:tblPrEx>
          <w:tblCellMar>
            <w:top w:w="0" w:type="dxa"/>
            <w:left w:w="0" w:type="dxa"/>
            <w:bottom w:w="0" w:type="dxa"/>
            <w:right w:w="0" w:type="dxa"/>
          </w:tblCellMar>
        </w:tblPrEx>
        <w:trPr>
          <w:trHeight w:val="440" w:hRule="exact"/>
          <w:jc w:val="center"/>
        </w:trPr>
        <w:tc>
          <w:tcPr>
            <w:tcW w:w="2112"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auto"/>
                <w:sz w:val="24"/>
                <w:szCs w:val="20"/>
              </w:rPr>
            </w:pPr>
            <w:r>
              <w:rPr>
                <w:rFonts w:hint="default" w:ascii="Times New Roman" w:hAnsi="Times New Roman" w:eastAsia="仿宋_GB2312" w:cs="Times New Roman"/>
                <w:b/>
                <w:bCs/>
                <w:color w:val="auto"/>
                <w:sz w:val="24"/>
                <w:szCs w:val="24"/>
              </w:rPr>
              <w:t>相关认定文件</w:t>
            </w: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1.项目申请表和总结报告</w:t>
            </w:r>
          </w:p>
        </w:tc>
      </w:tr>
      <w:tr>
        <w:trPr>
          <w:trHeight w:val="788"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 w:val="24"/>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2.申报单位营业执照或法人证书副件（复印件），举办大型演唱会、音乐节或高品质优秀剧目文艺演出</w:t>
            </w:r>
            <w:r>
              <w:rPr>
                <w:rFonts w:hint="default" w:ascii="Times New Roman" w:hAnsi="Times New Roman" w:eastAsia="仿宋_GB2312" w:cs="Times New Roman"/>
                <w:color w:val="auto"/>
                <w:spacing w:val="3"/>
                <w:sz w:val="24"/>
                <w:szCs w:val="24"/>
                <w:lang w:eastAsia="zh-CN"/>
              </w:rPr>
              <w:t>审批文书</w:t>
            </w:r>
            <w:r>
              <w:rPr>
                <w:rFonts w:hint="default" w:ascii="Times New Roman" w:hAnsi="Times New Roman" w:eastAsia="仿宋_GB2312" w:cs="Times New Roman"/>
                <w:color w:val="auto"/>
                <w:sz w:val="24"/>
                <w:szCs w:val="24"/>
                <w:lang w:eastAsia="zh-CN"/>
              </w:rPr>
              <w:t>等。</w:t>
            </w:r>
          </w:p>
        </w:tc>
      </w:tr>
      <w:tr>
        <w:tblPrEx>
          <w:tblCellMar>
            <w:top w:w="0" w:type="dxa"/>
            <w:left w:w="0" w:type="dxa"/>
            <w:bottom w:w="0" w:type="dxa"/>
            <w:right w:w="0" w:type="dxa"/>
          </w:tblCellMar>
        </w:tblPrEx>
        <w:trPr>
          <w:trHeight w:val="421"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58" w:leftChars="18" w:right="54" w:rightChars="17"/>
              <w:jc w:val="both"/>
              <w:rPr>
                <w:rFonts w:hint="default" w:ascii="Times New Roman" w:hAnsi="Times New Roman" w:cs="Times New Roman"/>
                <w:color w:val="auto"/>
                <w:szCs w:val="20"/>
              </w:rPr>
            </w:pPr>
            <w:r>
              <w:rPr>
                <w:rFonts w:hint="default" w:ascii="Times New Roman" w:hAnsi="Times New Roman" w:eastAsia="仿宋_GB2312" w:cs="Times New Roman"/>
                <w:color w:val="auto"/>
                <w:sz w:val="24"/>
                <w:szCs w:val="24"/>
                <w:lang w:eastAsia="zh-CN"/>
              </w:rPr>
              <w:t>3.购票观众人数凭证</w:t>
            </w:r>
          </w:p>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p>
        </w:tc>
      </w:tr>
      <w:tr>
        <w:tblPrEx>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4.落实“双实名制”的有关材料</w:t>
            </w:r>
          </w:p>
        </w:tc>
      </w:tr>
      <w:tr>
        <w:tblPrEx>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5.大型演唱会、音乐节售票收入凭证</w:t>
            </w:r>
          </w:p>
        </w:tc>
      </w:tr>
      <w:tr>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6.社会效益和品牌影响力凭证</w:t>
            </w:r>
          </w:p>
        </w:tc>
      </w:tr>
      <w:tr>
        <w:tblPrEx>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7.加分项标准达成说明及凭证（如涉及）</w:t>
            </w:r>
          </w:p>
        </w:tc>
      </w:tr>
      <w:tr>
        <w:tblPrEx>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r>
              <w:rPr>
                <w:rFonts w:hint="default" w:ascii="Times New Roman" w:hAnsi="Times New Roman" w:eastAsia="仿宋_GB2312" w:cs="Times New Roman"/>
                <w:b/>
                <w:bCs/>
                <w:color w:val="auto"/>
                <w:szCs w:val="20"/>
                <w:lang w:eastAsia="zh-CN"/>
              </w:rPr>
              <w:t>7.</w:t>
            </w: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8.信用查询记录</w:t>
            </w:r>
          </w:p>
        </w:tc>
      </w:tr>
      <w:tr>
        <w:tblPrEx>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b/>
                <w:bCs/>
                <w:color w:val="auto"/>
                <w:szCs w:val="20"/>
                <w:lang w:eastAsia="zh-CN"/>
              </w:rPr>
            </w:pPr>
          </w:p>
        </w:tc>
        <w:tc>
          <w:tcPr>
            <w:tcW w:w="6811" w:type="dxa"/>
            <w:gridSpan w:val="4"/>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4"/>
                <w:lang w:eastAsia="zh-CN"/>
              </w:rPr>
              <w:t>9.声明承诺书</w:t>
            </w:r>
          </w:p>
        </w:tc>
      </w:tr>
      <w:tr>
        <w:trPr>
          <w:trHeight w:val="6688" w:hRule="exact"/>
          <w:jc w:val="center"/>
        </w:trPr>
        <w:tc>
          <w:tcPr>
            <w:tcW w:w="89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91"/>
              <w:jc w:val="both"/>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b/>
                <w:bCs/>
                <w:color w:val="auto"/>
                <w:spacing w:val="2"/>
                <w:sz w:val="24"/>
                <w:szCs w:val="24"/>
                <w:lang w:eastAsia="zh-CN"/>
              </w:rPr>
              <w:t>五、</w:t>
            </w:r>
            <w:r>
              <w:rPr>
                <w:rFonts w:hint="default" w:ascii="Times New Roman" w:hAnsi="Times New Roman" w:eastAsia="仿宋_GB2312" w:cs="Times New Roman"/>
                <w:b/>
                <w:bCs/>
                <w:color w:val="auto"/>
                <w:spacing w:val="4"/>
                <w:sz w:val="24"/>
                <w:szCs w:val="24"/>
                <w:lang w:eastAsia="zh-CN"/>
              </w:rPr>
              <w:t>申</w:t>
            </w:r>
            <w:r>
              <w:rPr>
                <w:rFonts w:hint="default" w:ascii="Times New Roman" w:hAnsi="Times New Roman" w:eastAsia="仿宋_GB2312" w:cs="Times New Roman"/>
                <w:b/>
                <w:bCs/>
                <w:color w:val="auto"/>
                <w:spacing w:val="2"/>
                <w:sz w:val="24"/>
                <w:szCs w:val="24"/>
                <w:lang w:eastAsia="zh-CN"/>
              </w:rPr>
              <w:t>报活动内</w:t>
            </w:r>
            <w:r>
              <w:rPr>
                <w:rFonts w:hint="default" w:ascii="Times New Roman" w:hAnsi="Times New Roman" w:eastAsia="仿宋_GB2312" w:cs="Times New Roman"/>
                <w:b/>
                <w:bCs/>
                <w:color w:val="auto"/>
                <w:spacing w:val="4"/>
                <w:sz w:val="24"/>
                <w:szCs w:val="24"/>
                <w:lang w:eastAsia="zh-CN"/>
              </w:rPr>
              <w:t>容</w:t>
            </w:r>
            <w:r>
              <w:rPr>
                <w:rFonts w:hint="default" w:ascii="Times New Roman" w:hAnsi="Times New Roman" w:eastAsia="仿宋_GB2312" w:cs="Times New Roman"/>
                <w:b/>
                <w:bCs/>
                <w:color w:val="auto"/>
                <w:spacing w:val="2"/>
                <w:sz w:val="24"/>
                <w:szCs w:val="24"/>
                <w:lang w:eastAsia="zh-CN"/>
              </w:rPr>
              <w:t>概述</w:t>
            </w:r>
            <w:r>
              <w:rPr>
                <w:rFonts w:hint="default" w:ascii="Times New Roman" w:hAnsi="Times New Roman" w:eastAsia="仿宋_GB2312" w:cs="Times New Roman"/>
                <w:color w:val="auto"/>
                <w:spacing w:val="2"/>
                <w:sz w:val="24"/>
                <w:szCs w:val="24"/>
                <w:lang w:eastAsia="zh-CN"/>
              </w:rPr>
              <w:t>（包</w:t>
            </w:r>
            <w:r>
              <w:rPr>
                <w:rFonts w:hint="default" w:ascii="Times New Roman" w:hAnsi="Times New Roman" w:eastAsia="仿宋_GB2312" w:cs="Times New Roman"/>
                <w:color w:val="auto"/>
                <w:sz w:val="24"/>
                <w:szCs w:val="24"/>
                <w:lang w:eastAsia="zh-CN"/>
              </w:rPr>
              <w:t>括</w:t>
            </w:r>
            <w:r>
              <w:rPr>
                <w:rFonts w:hint="default" w:ascii="Times New Roman" w:hAnsi="Times New Roman" w:eastAsia="仿宋_GB2312" w:cs="Times New Roman"/>
                <w:color w:val="auto"/>
                <w:spacing w:val="2"/>
                <w:sz w:val="24"/>
                <w:szCs w:val="24"/>
                <w:lang w:eastAsia="zh-CN"/>
              </w:rPr>
              <w:t>但不限于大型演唱会、音乐节及高品质优秀剧目文艺演出名称、</w:t>
            </w:r>
            <w:r>
              <w:rPr>
                <w:rFonts w:hint="default" w:ascii="Times New Roman" w:hAnsi="Times New Roman" w:eastAsia="仿宋_GB2312" w:cs="Times New Roman"/>
                <w:color w:val="auto"/>
                <w:sz w:val="24"/>
                <w:szCs w:val="24"/>
                <w:lang w:eastAsia="zh-CN"/>
              </w:rPr>
              <w:t>内</w:t>
            </w:r>
            <w:r>
              <w:rPr>
                <w:rFonts w:hint="default" w:ascii="Times New Roman" w:hAnsi="Times New Roman" w:eastAsia="仿宋_GB2312" w:cs="Times New Roman"/>
                <w:color w:val="auto"/>
                <w:spacing w:val="2"/>
                <w:sz w:val="24"/>
                <w:szCs w:val="24"/>
                <w:lang w:eastAsia="zh-CN"/>
              </w:rPr>
              <w:t>容、社教</w:t>
            </w:r>
            <w:r>
              <w:rPr>
                <w:rFonts w:hint="default" w:ascii="Times New Roman" w:hAnsi="Times New Roman" w:eastAsia="仿宋_GB2312" w:cs="Times New Roman"/>
                <w:color w:val="auto"/>
                <w:sz w:val="24"/>
                <w:szCs w:val="24"/>
                <w:lang w:eastAsia="zh-CN"/>
              </w:rPr>
              <w:t>活</w:t>
            </w:r>
            <w:r>
              <w:rPr>
                <w:rFonts w:hint="default" w:ascii="Times New Roman" w:hAnsi="Times New Roman" w:eastAsia="仿宋_GB2312" w:cs="Times New Roman"/>
                <w:color w:val="auto"/>
                <w:spacing w:val="2"/>
                <w:sz w:val="24"/>
                <w:szCs w:val="24"/>
                <w:lang w:eastAsia="zh-CN"/>
              </w:rPr>
              <w:t>动内容、</w:t>
            </w:r>
            <w:r>
              <w:rPr>
                <w:rFonts w:hint="default" w:ascii="Times New Roman" w:hAnsi="Times New Roman" w:eastAsia="仿宋_GB2312" w:cs="Times New Roman"/>
                <w:color w:val="auto"/>
                <w:sz w:val="24"/>
                <w:szCs w:val="24"/>
                <w:lang w:eastAsia="zh-CN"/>
              </w:rPr>
              <w:t>社</w:t>
            </w:r>
            <w:r>
              <w:rPr>
                <w:rFonts w:hint="default" w:ascii="Times New Roman" w:hAnsi="Times New Roman" w:eastAsia="仿宋_GB2312" w:cs="Times New Roman"/>
                <w:color w:val="auto"/>
                <w:spacing w:val="2"/>
                <w:sz w:val="24"/>
                <w:szCs w:val="24"/>
                <w:lang w:eastAsia="zh-CN"/>
              </w:rPr>
              <w:t>会服</w:t>
            </w:r>
            <w:r>
              <w:rPr>
                <w:rFonts w:hint="default" w:ascii="Times New Roman" w:hAnsi="Times New Roman" w:eastAsia="仿宋_GB2312" w:cs="Times New Roman"/>
                <w:color w:val="auto"/>
                <w:sz w:val="24"/>
                <w:szCs w:val="24"/>
                <w:lang w:eastAsia="zh-CN"/>
              </w:rPr>
              <w:t>务项目、宣传方式及效果、核心亮点及创新之处、文化创意产品开发、社会和经济效益等）</w:t>
            </w:r>
          </w:p>
          <w:p>
            <w:pPr>
              <w:pStyle w:val="10"/>
              <w:keepNext w:val="0"/>
              <w:keepLines w:val="0"/>
              <w:suppressLineNumbers w:val="0"/>
              <w:spacing w:before="0" w:beforeAutospacing="0" w:after="0" w:afterAutospacing="0" w:line="400" w:lineRule="exact"/>
              <w:ind w:left="102"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b/>
                <w:bCs/>
                <w:color w:val="auto"/>
                <w:sz w:val="24"/>
                <w:szCs w:val="20"/>
                <w:lang w:eastAsia="zh-CN"/>
              </w:rPr>
            </w:pPr>
          </w:p>
          <w:p>
            <w:pPr>
              <w:keepNext w:val="0"/>
              <w:keepLines w:val="0"/>
              <w:suppressLineNumbers w:val="0"/>
              <w:spacing w:before="0" w:beforeAutospacing="0" w:after="0" w:afterAutospacing="0" w:line="240" w:lineRule="auto"/>
              <w:ind w:left="103" w:right="98"/>
              <w:jc w:val="both"/>
              <w:rPr>
                <w:rFonts w:hint="default" w:ascii="Times New Roman" w:hAnsi="Times New Roman" w:eastAsia="仿宋_GB2312" w:cs="Times New Roman"/>
                <w:color w:val="auto"/>
                <w:sz w:val="24"/>
                <w:szCs w:val="20"/>
                <w:lang w:eastAsia="zh-CN"/>
              </w:rPr>
            </w:pPr>
          </w:p>
        </w:tc>
      </w:tr>
    </w:tbl>
    <w:p>
      <w:pPr>
        <w:spacing w:after="0" w:line="578" w:lineRule="exact"/>
        <w:rPr>
          <w:rFonts w:ascii="Times New Roman" w:hAnsi="Times New Roman" w:eastAsia="仿宋_GB2312" w:cs="Times New Roman"/>
          <w:b/>
          <w:bCs/>
          <w:color w:val="auto"/>
          <w:sz w:val="24"/>
          <w:szCs w:val="24"/>
          <w:lang w:eastAsia="zh-CN"/>
        </w:rPr>
      </w:pPr>
    </w:p>
    <w:p>
      <w:pPr>
        <w:spacing w:after="0" w:line="578" w:lineRule="exact"/>
        <w:rPr>
          <w:rFonts w:ascii="Times New Roman" w:hAnsi="Times New Roman" w:eastAsia="仿宋_GB2312" w:cs="Times New Roman"/>
          <w:b/>
          <w:bCs/>
          <w:color w:val="auto"/>
          <w:sz w:val="24"/>
          <w:szCs w:val="24"/>
          <w:lang w:eastAsia="zh-CN"/>
        </w:rPr>
        <w:sectPr>
          <w:headerReference r:id="rId12" w:type="first"/>
          <w:footerReference r:id="rId14" w:type="first"/>
          <w:headerReference r:id="rId11" w:type="default"/>
          <w:footerReference r:id="rId13" w:type="default"/>
          <w:type w:val="continuous"/>
          <w:pgSz w:w="11910" w:h="16840"/>
          <w:pgMar w:top="1580" w:right="1320" w:bottom="1900" w:left="1440" w:header="720" w:footer="1417"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color w:val="auto"/>
        </w:rPr>
      </w:pPr>
      <w:r>
        <w:rPr>
          <w:rFonts w:ascii="Times New Roman" w:hAnsi="Times New Roman" w:eastAsia="黑体" w:cs="Times New Roman"/>
          <w:color w:val="auto"/>
        </w:rPr>
        <w:t>附</w:t>
      </w:r>
      <w:r>
        <w:rPr>
          <w:rFonts w:ascii="Times New Roman" w:hAnsi="Times New Roman" w:eastAsia="黑体" w:cs="Times New Roman"/>
          <w:color w:val="auto"/>
          <w:lang w:eastAsia="zh-CN"/>
        </w:rPr>
        <w:t>1-</w:t>
      </w:r>
      <w:r>
        <w:rPr>
          <w:rFonts w:ascii="Times New Roman" w:hAnsi="Times New Roman" w:eastAsia="黑体" w:cs="Times New Roman"/>
          <w:color w:val="auto"/>
        </w:rPr>
        <w:t>2</w:t>
      </w:r>
    </w:p>
    <w:p>
      <w:pPr>
        <w:pStyle w:val="4"/>
        <w:spacing w:before="0" w:after="0" w:line="578" w:lineRule="exact"/>
        <w:ind w:left="0"/>
        <w:rPr>
          <w:rFonts w:ascii="Times New Roman" w:hAnsi="Times New Roman" w:eastAsia="黑体" w:cs="Times New Roman"/>
          <w:color w:val="auto"/>
        </w:rPr>
      </w:pPr>
    </w:p>
    <w:p>
      <w:pPr>
        <w:pStyle w:val="3"/>
        <w:spacing w:after="0" w:line="578" w:lineRule="exact"/>
        <w:ind w:left="2609"/>
        <w:rPr>
          <w:rFonts w:ascii="Times New Roman" w:hAnsi="Times New Roman" w:cs="Times New Roman"/>
          <w:color w:val="auto"/>
          <w:sz w:val="20"/>
          <w:szCs w:val="20"/>
        </w:rPr>
      </w:pPr>
      <w:r>
        <w:rPr>
          <w:rFonts w:ascii="Times New Roman" w:hAnsi="Times New Roman" w:cs="Times New Roman"/>
          <w:color w:val="auto"/>
        </w:rPr>
        <w:t>奖励资金申请承诺表</w:t>
      </w:r>
    </w:p>
    <w:p>
      <w:pPr>
        <w:spacing w:after="0" w:line="578" w:lineRule="exact"/>
        <w:rPr>
          <w:rFonts w:ascii="Times New Roman" w:hAnsi="Times New Roman" w:eastAsia="方正小标宋简体" w:cs="Times New Roman"/>
          <w:color w:val="auto"/>
          <w:sz w:val="17"/>
          <w:szCs w:val="17"/>
        </w:rPr>
      </w:pPr>
    </w:p>
    <w:tbl>
      <w:tblPr>
        <w:tblStyle w:val="8"/>
        <w:tblW w:w="8931" w:type="dxa"/>
        <w:tblInd w:w="119" w:type="dxa"/>
        <w:tblLayout w:type="fixed"/>
        <w:tblCellMar>
          <w:top w:w="0" w:type="dxa"/>
          <w:left w:w="0" w:type="dxa"/>
          <w:bottom w:w="0" w:type="dxa"/>
          <w:right w:w="0" w:type="dxa"/>
        </w:tblCellMar>
      </w:tblPr>
      <w:tblGrid>
        <w:gridCol w:w="1560"/>
        <w:gridCol w:w="7371"/>
      </w:tblGrid>
      <w:tr>
        <w:tblPrEx>
          <w:tblCellMar>
            <w:top w:w="0" w:type="dxa"/>
            <w:left w:w="0" w:type="dxa"/>
            <w:bottom w:w="0" w:type="dxa"/>
            <w:right w:w="0" w:type="dxa"/>
          </w:tblCellMar>
        </w:tblPrEx>
        <w:trPr>
          <w:trHeight w:val="680" w:hRule="exact"/>
        </w:trPr>
        <w:tc>
          <w:tcPr>
            <w:tcW w:w="156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suppressLineNumbers w:val="0"/>
              <w:spacing w:before="0" w:beforeAutospacing="0" w:after="0" w:afterAutospacing="0" w:line="578" w:lineRule="exact"/>
              <w:ind w:left="215" w:right="0"/>
              <w:rPr>
                <w:rFonts w:hint="default" w:ascii="Times New Roman" w:hAnsi="Times New Roman" w:eastAsia="仿宋" w:cs="Times New Roman"/>
                <w:color w:val="auto"/>
                <w:sz w:val="28"/>
                <w:szCs w:val="20"/>
              </w:rPr>
            </w:pPr>
            <w:r>
              <w:rPr>
                <w:rFonts w:hint="default" w:ascii="Times New Roman" w:hAnsi="Times New Roman" w:eastAsia="仿宋_GB2312" w:cs="Times New Roman"/>
                <w:color w:val="auto"/>
                <w:sz w:val="28"/>
                <w:szCs w:val="28"/>
              </w:rPr>
              <w:t>单位名称</w:t>
            </w:r>
          </w:p>
        </w:tc>
        <w:tc>
          <w:tcPr>
            <w:tcW w:w="737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suppressLineNumbers w:val="0"/>
              <w:spacing w:before="0" w:beforeAutospacing="0" w:after="0" w:afterAutospacing="0" w:line="578" w:lineRule="exact"/>
              <w:ind w:left="0" w:right="99"/>
              <w:jc w:val="right"/>
              <w:rPr>
                <w:rFonts w:hint="default" w:ascii="Times New Roman" w:hAnsi="Times New Roman" w:eastAsia="仿宋" w:cs="Times New Roman"/>
                <w:color w:val="auto"/>
                <w:sz w:val="28"/>
                <w:szCs w:val="20"/>
              </w:rPr>
            </w:pPr>
            <w:r>
              <w:rPr>
                <w:rFonts w:hint="default" w:ascii="Times New Roman" w:hAnsi="Times New Roman" w:eastAsia="仿宋_GB2312" w:cs="Times New Roman"/>
                <w:color w:val="auto"/>
                <w:spacing w:val="-1"/>
                <w:sz w:val="28"/>
                <w:szCs w:val="28"/>
              </w:rPr>
              <w:t>（单位盖章）</w:t>
            </w:r>
          </w:p>
        </w:tc>
      </w:tr>
      <w:tr>
        <w:tblPrEx>
          <w:tblCellMar>
            <w:top w:w="0" w:type="dxa"/>
            <w:left w:w="0" w:type="dxa"/>
            <w:bottom w:w="0" w:type="dxa"/>
            <w:right w:w="0" w:type="dxa"/>
          </w:tblCellMar>
        </w:tblPrEx>
        <w:trPr>
          <w:trHeight w:val="9432" w:hRule="exact"/>
        </w:trPr>
        <w:tc>
          <w:tcPr>
            <w:tcW w:w="893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suppressLineNumbers w:val="0"/>
              <w:spacing w:before="0" w:beforeAutospacing="0" w:after="0" w:afterAutospacing="0" w:line="578" w:lineRule="exact"/>
              <w:ind w:left="663" w:right="102" w:hanging="562"/>
              <w:rPr>
                <w:rFonts w:hint="default" w:ascii="Times New Roman" w:hAnsi="Times New Roman" w:eastAsia="仿宋_GB2312" w:cs="Times New Roman"/>
                <w:color w:val="auto"/>
                <w:sz w:val="28"/>
                <w:szCs w:val="20"/>
                <w:lang w:eastAsia="zh-CN"/>
              </w:rPr>
            </w:pPr>
            <w:r>
              <w:rPr>
                <w:rFonts w:hint="default" w:ascii="Times New Roman" w:hAnsi="Times New Roman" w:eastAsia="仿宋_GB2312" w:cs="Times New Roman"/>
                <w:color w:val="auto"/>
                <w:sz w:val="28"/>
                <w:szCs w:val="28"/>
                <w:lang w:eastAsia="zh-CN"/>
              </w:rPr>
              <w:t>我单位郑重承诺：</w:t>
            </w:r>
          </w:p>
          <w:p>
            <w:pPr>
              <w:pStyle w:val="10"/>
              <w:keepNext w:val="0"/>
              <w:keepLines w:val="0"/>
              <w:suppressLineNumbers w:val="0"/>
              <w:spacing w:before="0" w:beforeAutospacing="0" w:after="0" w:afterAutospacing="0" w:line="578" w:lineRule="exact"/>
              <w:ind w:left="42" w:leftChars="13" w:right="102" w:firstLine="487" w:firstLineChars="174"/>
              <w:rPr>
                <w:rFonts w:hint="default" w:ascii="Times New Roman" w:hAnsi="Times New Roman" w:eastAsia="仿宋_GB2312" w:cs="Times New Roman"/>
                <w:b/>
                <w:bCs/>
                <w:color w:val="auto"/>
                <w:sz w:val="28"/>
                <w:szCs w:val="20"/>
                <w:lang w:eastAsia="zh-CN"/>
              </w:rPr>
            </w:pPr>
            <w:bookmarkStart w:id="2" w:name="_Hlk169022606"/>
            <w:bookmarkEnd w:id="2"/>
            <w:r>
              <w:rPr>
                <w:rFonts w:hint="default" w:ascii="Times New Roman" w:hAnsi="Times New Roman" w:eastAsia="仿宋_GB2312" w:cs="Times New Roman"/>
                <w:color w:val="auto"/>
                <w:sz w:val="28"/>
                <w:szCs w:val="28"/>
                <w:lang w:eastAsia="zh-CN"/>
              </w:rPr>
              <w:t>认真填报并确保大型演唱会、音乐节及高品质优秀剧目文艺演出奖励资金申报项目</w:t>
            </w:r>
            <w:r>
              <w:rPr>
                <w:rFonts w:hint="default" w:ascii="Times New Roman" w:hAnsi="Times New Roman" w:eastAsia="仿宋_GB2312" w:cs="Times New Roman"/>
                <w:b/>
                <w:bCs/>
                <w:color w:val="auto"/>
                <w:sz w:val="28"/>
                <w:szCs w:val="28"/>
                <w:lang w:eastAsia="zh-CN"/>
              </w:rPr>
              <w:t>相关材料均真实无误，无知识产权争议；申请奖励前三年内未出现重大负面舆情；申请奖励前三年内在经营活动中没有重大违法记录；申请奖励前三年内，同一活动未重复申请或获得其它三亚市级财政支持或</w:t>
            </w:r>
            <w:r>
              <w:rPr>
                <w:rFonts w:hint="eastAsia" w:ascii="Times New Roman" w:hAnsi="Times New Roman" w:eastAsia="仿宋_GB2312" w:cs="Times New Roman"/>
                <w:b/>
                <w:bCs/>
                <w:color w:val="auto"/>
                <w:sz w:val="28"/>
                <w:szCs w:val="28"/>
                <w:lang w:eastAsia="zh-CN"/>
              </w:rPr>
              <w:t>奖励</w:t>
            </w:r>
            <w:r>
              <w:rPr>
                <w:rFonts w:hint="default" w:ascii="Times New Roman" w:hAnsi="Times New Roman" w:eastAsia="仿宋_GB2312" w:cs="Times New Roman"/>
                <w:b/>
                <w:bCs/>
                <w:color w:val="auto"/>
                <w:sz w:val="28"/>
                <w:szCs w:val="28"/>
                <w:lang w:eastAsia="zh-CN"/>
              </w:rPr>
              <w:t>资金。我单位愿意承担因材料不实而引发的全部责任和后果。</w:t>
            </w:r>
          </w:p>
          <w:p>
            <w:pPr>
              <w:pStyle w:val="10"/>
              <w:keepNext w:val="0"/>
              <w:keepLines w:val="0"/>
              <w:suppressLineNumbers w:val="0"/>
              <w:spacing w:before="0" w:beforeAutospacing="0" w:after="0" w:afterAutospacing="0" w:line="578" w:lineRule="exact"/>
              <w:ind w:left="0" w:right="0"/>
              <w:rPr>
                <w:rFonts w:hint="default" w:ascii="Times New Roman" w:hAnsi="Times New Roman" w:eastAsia="方正小标宋简体" w:cs="Times New Roman"/>
                <w:color w:val="auto"/>
                <w:sz w:val="28"/>
                <w:szCs w:val="20"/>
                <w:lang w:eastAsia="zh-CN"/>
              </w:rPr>
            </w:pPr>
          </w:p>
          <w:p>
            <w:pPr>
              <w:pStyle w:val="10"/>
              <w:keepNext w:val="0"/>
              <w:keepLines w:val="0"/>
              <w:suppressLineNumbers w:val="0"/>
              <w:spacing w:before="0" w:beforeAutospacing="0" w:after="0" w:afterAutospacing="0" w:line="578" w:lineRule="exact"/>
              <w:ind w:left="0" w:right="0"/>
              <w:rPr>
                <w:rFonts w:hint="default" w:ascii="Times New Roman" w:hAnsi="Times New Roman" w:eastAsia="方正小标宋简体" w:cs="Times New Roman"/>
                <w:color w:val="auto"/>
                <w:sz w:val="28"/>
                <w:szCs w:val="20"/>
                <w:lang w:eastAsia="zh-CN"/>
              </w:rPr>
            </w:pPr>
          </w:p>
          <w:p>
            <w:pPr>
              <w:pStyle w:val="10"/>
              <w:keepNext w:val="0"/>
              <w:keepLines w:val="0"/>
              <w:suppressLineNumbers w:val="0"/>
              <w:spacing w:before="0" w:beforeAutospacing="0" w:after="0" w:afterAutospacing="0" w:line="578" w:lineRule="exact"/>
              <w:ind w:left="0" w:right="0"/>
              <w:rPr>
                <w:rFonts w:hint="default" w:ascii="Times New Roman" w:hAnsi="Times New Roman" w:eastAsia="方正小标宋简体" w:cs="Times New Roman"/>
                <w:color w:val="auto"/>
                <w:sz w:val="38"/>
                <w:szCs w:val="20"/>
                <w:lang w:eastAsia="zh-CN"/>
              </w:rPr>
            </w:pPr>
          </w:p>
          <w:p>
            <w:pPr>
              <w:pStyle w:val="10"/>
              <w:keepNext w:val="0"/>
              <w:keepLines w:val="0"/>
              <w:suppressLineNumbers w:val="0"/>
              <w:spacing w:before="0" w:beforeAutospacing="0" w:after="0" w:afterAutospacing="0" w:line="578" w:lineRule="exact"/>
              <w:ind w:left="515" w:right="0"/>
              <w:rPr>
                <w:rFonts w:hint="default" w:ascii="Times New Roman" w:hAnsi="Times New Roman" w:eastAsia="仿宋_GB2312" w:cs="Times New Roman"/>
                <w:color w:val="auto"/>
                <w:sz w:val="28"/>
                <w:szCs w:val="20"/>
                <w:lang w:eastAsia="zh-CN"/>
              </w:rPr>
            </w:pPr>
            <w:r>
              <w:rPr>
                <w:rFonts w:hint="default" w:ascii="Times New Roman" w:hAnsi="Times New Roman" w:eastAsia="仿宋_GB2312" w:cs="Times New Roman"/>
                <w:color w:val="auto"/>
                <w:sz w:val="28"/>
                <w:szCs w:val="28"/>
                <w:lang w:eastAsia="zh-CN"/>
              </w:rPr>
              <w:t>申报单位法人代表签字：</w:t>
            </w:r>
          </w:p>
          <w:p>
            <w:pPr>
              <w:pStyle w:val="10"/>
              <w:keepNext w:val="0"/>
              <w:keepLines w:val="0"/>
              <w:suppressLineNumbers w:val="0"/>
              <w:spacing w:before="0" w:beforeAutospacing="0" w:after="0" w:afterAutospacing="0" w:line="578" w:lineRule="exact"/>
              <w:ind w:left="515" w:right="0"/>
              <w:rPr>
                <w:rFonts w:hint="default" w:ascii="Times New Roman" w:hAnsi="Times New Roman" w:eastAsia="仿宋_GB2312" w:cs="Times New Roman"/>
                <w:color w:val="auto"/>
                <w:sz w:val="28"/>
                <w:szCs w:val="20"/>
                <w:lang w:eastAsia="zh-CN"/>
              </w:rPr>
            </w:pPr>
          </w:p>
          <w:p>
            <w:pPr>
              <w:pStyle w:val="10"/>
              <w:keepNext w:val="0"/>
              <w:keepLines w:val="0"/>
              <w:suppressLineNumbers w:val="0"/>
              <w:spacing w:before="0" w:beforeAutospacing="0" w:after="0" w:afterAutospacing="0" w:line="578" w:lineRule="exact"/>
              <w:ind w:left="515" w:right="0"/>
              <w:rPr>
                <w:rFonts w:hint="default" w:ascii="Times New Roman" w:hAnsi="Times New Roman" w:eastAsia="仿宋_GB2312" w:cs="Times New Roman"/>
                <w:color w:val="auto"/>
                <w:sz w:val="28"/>
                <w:szCs w:val="20"/>
                <w:lang w:eastAsia="zh-CN"/>
              </w:rPr>
            </w:pPr>
          </w:p>
          <w:p>
            <w:pPr>
              <w:pStyle w:val="10"/>
              <w:keepNext w:val="0"/>
              <w:keepLines w:val="0"/>
              <w:suppressLineNumbers w:val="0"/>
              <w:spacing w:before="0" w:beforeAutospacing="0" w:after="0" w:afterAutospacing="0" w:line="578" w:lineRule="exact"/>
              <w:ind w:left="5669" w:right="0"/>
              <w:rPr>
                <w:rFonts w:hint="default" w:ascii="Times New Roman" w:hAnsi="Times New Roman" w:eastAsia="方正小标宋简体" w:cs="Times New Roman"/>
                <w:color w:val="auto"/>
                <w:sz w:val="40"/>
                <w:szCs w:val="20"/>
                <w:lang w:eastAsia="zh-CN"/>
              </w:rPr>
            </w:pP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月  日</w:t>
            </w:r>
          </w:p>
          <w:p>
            <w:pPr>
              <w:keepNext w:val="0"/>
              <w:keepLines w:val="0"/>
              <w:suppressLineNumbers w:val="0"/>
              <w:spacing w:before="0" w:beforeAutospacing="0" w:after="0" w:afterAutospacing="0" w:line="578" w:lineRule="exact"/>
              <w:ind w:left="0" w:right="1266"/>
              <w:jc w:val="both"/>
              <w:rPr>
                <w:rFonts w:hint="default" w:ascii="Times New Roman" w:hAnsi="Times New Roman" w:eastAsia="仿宋" w:cs="Times New Roman"/>
                <w:color w:val="auto"/>
                <w:sz w:val="28"/>
                <w:szCs w:val="20"/>
                <w:lang w:eastAsia="zh-CN"/>
              </w:rPr>
            </w:pPr>
          </w:p>
        </w:tc>
      </w:tr>
    </w:tbl>
    <w:p>
      <w:pPr>
        <w:rPr>
          <w:rFonts w:ascii="Times New Roman" w:hAnsi="Times New Roman" w:eastAsia="黑体" w:cs="Times New Roman"/>
          <w:color w:val="auto"/>
          <w:lang w:eastAsia="zh-CN"/>
        </w:rPr>
      </w:pPr>
      <w:r>
        <w:rPr>
          <w:rFonts w:ascii="Times New Roman" w:hAnsi="Times New Roman" w:eastAsia="黑体" w:cs="Times New Roman"/>
          <w:color w:val="auto"/>
          <w:lang w:eastAsia="zh-CN"/>
        </w:rPr>
        <w:br w:type="page"/>
      </w:r>
    </w:p>
    <w:p>
      <w:pPr>
        <w:pStyle w:val="4"/>
        <w:spacing w:before="0" w:after="0" w:line="578" w:lineRule="exact"/>
        <w:ind w:left="0"/>
        <w:rPr>
          <w:rFonts w:ascii="Times New Roman" w:hAnsi="Times New Roman" w:eastAsia="黑体" w:cs="Times New Roman"/>
          <w:color w:val="auto"/>
          <w:lang w:eastAsia="zh-CN"/>
        </w:rPr>
      </w:pPr>
      <w:r>
        <w:rPr>
          <w:rFonts w:ascii="Times New Roman" w:hAnsi="Times New Roman" w:eastAsia="黑体" w:cs="Times New Roman"/>
          <w:color w:val="auto"/>
          <w:lang w:eastAsia="zh-CN"/>
        </w:rPr>
        <w:t>附1-3</w:t>
      </w:r>
    </w:p>
    <w:p>
      <w:pPr>
        <w:pStyle w:val="4"/>
        <w:spacing w:before="0" w:after="0" w:line="578" w:lineRule="exact"/>
        <w:ind w:left="0"/>
        <w:rPr>
          <w:rFonts w:ascii="Times New Roman" w:hAnsi="Times New Roman" w:eastAsia="黑体" w:cs="Times New Roman"/>
          <w:color w:val="auto"/>
          <w:lang w:eastAsia="zh-CN"/>
        </w:rPr>
      </w:pPr>
    </w:p>
    <w:p>
      <w:pPr>
        <w:pStyle w:val="3"/>
        <w:spacing w:after="0" w:line="578" w:lineRule="exact"/>
        <w:ind w:left="2988"/>
        <w:rPr>
          <w:rFonts w:ascii="Times New Roman" w:hAnsi="Times New Roman" w:cs="Times New Roman"/>
          <w:color w:val="auto"/>
          <w:lang w:eastAsia="zh-CN"/>
        </w:rPr>
      </w:pPr>
      <w:r>
        <w:rPr>
          <w:rFonts w:ascii="Times New Roman" w:hAnsi="Times New Roman" w:cs="Times New Roman"/>
          <w:color w:val="auto"/>
          <w:lang w:eastAsia="zh-CN"/>
        </w:rPr>
        <w:t>奖励资金申请书</w:t>
      </w:r>
    </w:p>
    <w:p>
      <w:pPr>
        <w:pStyle w:val="4"/>
        <w:spacing w:before="0" w:after="0" w:line="578" w:lineRule="exact"/>
        <w:ind w:left="747" w:firstLine="2822"/>
        <w:rPr>
          <w:rFonts w:ascii="Times New Roman" w:hAnsi="Times New Roman" w:eastAsia="楷体" w:cs="Times New Roman"/>
          <w:color w:val="auto"/>
          <w:lang w:eastAsia="zh-CN"/>
        </w:rPr>
      </w:pPr>
      <w:r>
        <w:rPr>
          <w:rFonts w:ascii="Times New Roman" w:hAnsi="Times New Roman" w:eastAsia="楷体" w:cs="Times New Roman"/>
          <w:color w:val="auto"/>
          <w:lang w:eastAsia="zh-CN"/>
        </w:rPr>
        <w:t>（通用格式）</w:t>
      </w:r>
    </w:p>
    <w:p>
      <w:pPr>
        <w:spacing w:after="0" w:line="578" w:lineRule="exact"/>
        <w:rPr>
          <w:rFonts w:ascii="Times New Roman" w:hAnsi="Times New Roman" w:eastAsia="楷体" w:cs="Times New Roman"/>
          <w:color w:val="auto"/>
          <w:sz w:val="24"/>
          <w:szCs w:val="24"/>
          <w:lang w:eastAsia="zh-CN"/>
        </w:rPr>
      </w:pP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报告应围绕大型演唱会、音乐节及高品质优秀剧目文艺演出的促进作用开展论述，篇幅控制在2000—4000字，一般包括以下内容：</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一、申报单位概况</w:t>
      </w:r>
    </w:p>
    <w:p>
      <w:pPr>
        <w:pStyle w:val="4"/>
        <w:tabs>
          <w:tab w:val="left" w:pos="3946"/>
        </w:tabs>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单位名称、单位性质、资质情况等，重点介绍本单位行业地</w:t>
      </w:r>
      <w:r>
        <w:rPr>
          <w:rFonts w:ascii="Times New Roman" w:hAnsi="Times New Roman" w:eastAsia="仿宋_GB2312" w:cs="Times New Roman"/>
          <w:color w:val="auto"/>
          <w:w w:val="100"/>
          <w:lang w:eastAsia="zh-CN"/>
        </w:rPr>
        <w:t>位，既往工作内容</w:t>
      </w:r>
      <w:r>
        <w:rPr>
          <w:rFonts w:ascii="Times New Roman" w:hAnsi="Times New Roman" w:eastAsia="仿宋_GB2312" w:cs="Times New Roman"/>
          <w:color w:val="auto"/>
          <w:spacing w:val="-4"/>
          <w:w w:val="100"/>
          <w:lang w:eastAsia="zh-CN"/>
        </w:rPr>
        <w:t>与成效，单位核心竞争优势。</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二、项目举办情况</w:t>
      </w:r>
    </w:p>
    <w:p>
      <w:pPr>
        <w:pStyle w:val="4"/>
        <w:spacing w:before="0" w:after="0" w:line="578" w:lineRule="exact"/>
        <w:ind w:left="0" w:firstLine="624"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4"/>
          <w:w w:val="100"/>
          <w:lang w:eastAsia="zh-CN"/>
        </w:rPr>
        <w:t>活动名称、内容、社教活动内容、社会服务项目、宣传方式及效果、核心亮点及创新之处、文化创意产品开发、社会和经济效益等等。</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三、项目的社会和经济效益</w:t>
      </w:r>
    </w:p>
    <w:p>
      <w:pPr>
        <w:pStyle w:val="7"/>
        <w:keepNext w:val="0"/>
        <w:keepLines w:val="0"/>
        <w:widowControl w:val="0"/>
        <w:suppressLineNumbers w:val="0"/>
        <w:spacing w:before="0" w:beforeAutospacing="0" w:after="0" w:afterAutospacing="0" w:line="578" w:lineRule="exact"/>
        <w:ind w:left="0" w:right="0" w:firstLine="624" w:firstLineChars="200"/>
        <w:jc w:val="both"/>
      </w:pPr>
      <w:r>
        <w:rPr>
          <w:rFonts w:ascii="Times New Roman" w:hAnsi="Times New Roman" w:eastAsia="仿宋_GB2312" w:cs="Times New Roman"/>
          <w:color w:val="auto"/>
          <w:spacing w:val="-4"/>
          <w:w w:val="100"/>
          <w:sz w:val="32"/>
          <w:szCs w:val="32"/>
          <w:lang w:eastAsia="zh-CN"/>
        </w:rPr>
        <w:t>说明活动实施效果，包括对三亚文旅消费带动作用、入岛人次带动作用等方面的溢出效应及影响力提升等方面贡献度分析。</w:t>
      </w:r>
    </w:p>
    <w:sectPr>
      <w:headerReference r:id="rId15" w:type="default"/>
      <w:footerReference r:id="rId16" w:type="default"/>
      <w:pgSz w:w="11906" w:h="16838"/>
      <w:pgMar w:top="2098" w:right="1800"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82042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820420" cy="1828800"/>
                      </a:xfrm>
                      <a:prstGeom prst="rect">
                        <a:avLst/>
                      </a:prstGeom>
                      <a:noFill/>
                      <a:ln w="6350">
                        <a:noFill/>
                      </a:ln>
                      <a:effectLst/>
                    </wps:spPr>
                    <wps:txbx>
                      <w:txbxContent>
                        <w:p>
                          <w:pPr>
                            <w:jc w:val="cente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64.6pt;mso-position-horizontal:outside;mso-position-horizontal-relative:margin;z-index:251674624;mso-width-relative:page;mso-height-relative:page;" filled="f" stroked="f" coordsize="21600,21600" o:gfxdata="UEsFBgAAAAAAAAAAAAAAAAAAAAAAAFBLAwQKAAAAAACHTuJAAAAAAAAAAAAAAAAABAAAAGRycy9Q&#10;SwMEFAAAAAgAh07iQHPcT1jUAAAABQEAAA8AAABkcnMvZG93bnJldi54bWxNjzFPwzAQhXck/oN1&#10;SGzUbgYUQpwOFXSAiRQhxmt8iUPjcxS7aeHX47LQ5aSnd/fed+Xq5AYx0xR6zxqWCwWCuPGm507D&#10;+/b5LgcRIrLBwTNp+KYAq+r6qsTC+CO/0VzHTqQQDgVqsDGOhZShseQwLPxInLzWTw5jklMnzYTH&#10;FO4GmSl1Lx32nBosjrS21Ozrg0sYH6/KbX5a++lesA213c6bpy+tb2+W6hFEpFP8X4YzfrqBKjHt&#10;/IFNEIOG9Ej8m2cve8hA7DRkea5AVqW8pK9+AVBLAwQUAAAACACHTuJA1oJz2yICAAAqBAAADgAA&#10;AGRycy9lMm9Eb2MueG1srVPNjtMwEL4j8Q6W7zRpgFVVNV2VXRUhVexKBXF2HaeJ5D9st8nyAPAG&#10;nLhw57n6HHx2ky4CToiLPeMZz8/3zSyueyXJUTjfGl3S6SSnRGhuqlbvS/r+3frZjBIfmK6YNFqU&#10;9EF4er18+mTR2bkoTGNkJRxBEO3nnS1pE4KdZ5nnjVDMT4wVGsbaOMUCVLfPKsc6RFcyK/L8KuuM&#10;q6wzXHiP19uzkS5T/LoWPNzVtReByJKitpBOl85dPLPlgs33jtmm5UMZ7B+qUKzVSHoJdcsCIwfX&#10;/hFKtdwZb+ow4UZlpq5bLlIP6Gaa/9bNtmFWpF4AjrcXmPz/C8vfHu8daStwV1CimQJHp69fTt9+&#10;nL5/JngDQJ31c/htLTxD/8r0JQ3uIEaTx3tsva+dijeaInAB2g8XhEUfCMfjrMhfFLBwmKazYjbL&#10;EwXZ42/rfHgtjCJRKKkDgwlYdtz4gGLgOrrEZNqsWykTi1KTrqRXz1/m6cPFgh9SR1+R5mEIE5s6&#10;Vx6l0O/6odOdqR7QqDPnWfGWr1uUsmE+3DOH4UD5GPhwh6OWBinNIFHSGPfpb+/RH5zBSkmHYSup&#10;/3hgTlAi32iwGSdzFNwo7EZBH9SNwfxOsUqWJxEfXJCjWDujPmAPVjFLzaRHYKY58oGpUbwJ0AYj&#10;9omL1eqiYxYtCxu9tXzgNuLl7eoQgG+CPaJ0hgYcRAUDmdgYlidO/K968npc8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c9xPWNQAAAAFAQAADwAAAAAAAAABACAAAAA4AAAAZHJzL2Rvd25yZXYu&#10;eG1sUEsBAhQAFAAAAAgAh07iQNaCc9siAgAAKgQAAA4AAAAAAAAAAQAgAAAAOQEAAGRycy9lMm9E&#10;b2MueG1sUEsFBgAAAAAGAAYAWQEAAM0FAAAAAA==&#10;">
              <v:fill on="f" focussize="0,0"/>
              <v:stroke on="f" weight="0.5pt"/>
              <v:imagedata o:title=""/>
              <o:lock v:ext="edit" aspectratio="f"/>
              <v:textbox inset="0mm,0mm,0mm,0mm" style="mso-fit-shape-to-text:t;">
                <w:txbxContent>
                  <w:p>
                    <w:pPr>
                      <w:jc w:val="cente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jc w:val="center"/>
      <w:rPr>
        <w:rFonts w:ascii="宋体" w:hAnsi="宋体" w:eastAsia="宋体"/>
        <w:sz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snapToGrid/>
                            <w:jc w:val="center"/>
                            <w:rPr>
                              <w:rFonts w:hint="default" w:ascii="宋体" w:hAnsi="宋体" w:eastAsia="宋体" w:cs="宋体"/>
                              <w:color w:val="000000"/>
                              <w:sz w:val="28"/>
                              <w:szCs w:val="28"/>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R3k2GwIAACk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ilWZEL0adJU59aTFLtN14+6&#10;sfURk3p7JktwfNWglTUL8YF5sAPtg/HxHo9UFiVtL1Gys/7z3+wpHkuDl5IWbKuowTlQot4ZLDMR&#10;cxD8IGwGwez1rQV9x7gkx7OIH3xUgyi91Z9wBstUQzIVkJgZjmpY1CDeRmi9E+fExXJ50UFFx+La&#10;PDrerzahFdxyH4FuBj1hdAYGy0oK+JjX1t9OIvyveo56vvDF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ER3k2GwIAACkEAAAOAAAAAAAAAAEAIAAAADUBAABkcnMvZTJvRG9jLnhtbFBLBQYA&#10;AAAABgAGAFkBAADCBQAAAAA=&#10;">
              <v:fill on="f" focussize="0,0"/>
              <v:stroke on="f" weight="0.5pt"/>
              <v:imagedata o:title=""/>
              <o:lock v:ext="edit" aspectratio="f"/>
              <v:textbox inset="0mm,0mm,0mm,0mm" style="mso-fit-shape-to-text:t;">
                <w:txbxContent>
                  <w:p>
                    <w:pPr>
                      <w:pStyle w:val="5"/>
                      <w:snapToGrid/>
                      <w:jc w:val="center"/>
                      <w:rPr>
                        <w:rFonts w:hint="default" w:ascii="宋体" w:hAnsi="宋体" w:eastAsia="宋体" w:cs="宋体"/>
                        <w:color w:val="000000"/>
                        <w:sz w:val="28"/>
                        <w:szCs w:val="28"/>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color w:val="000000"/>
                              <w:sz w:val="24"/>
                              <w:szCs w:val="24"/>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r>
                            <w:rPr>
                              <w:rFonts w:hint="eastAsia" w:ascii="宋体" w:hAnsi="宋体" w:eastAsia="宋体" w:cs="宋体"/>
                              <w:color w:val="000000"/>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6WFruGwIAACk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ilWZEL0adJU59aTFLtN14+6&#10;sfURk3p7JktwfNWglTUL8YF5sAPtg/HxHo9UFiVtL1Gys/7z3+wpHkuDl5IWbKuowTlQot4ZLDMR&#10;cxD8IGwGwez1rQV9x7gkx7OIH3xUgyi91Z9wBstUQzIVkJgZjmpY1CDeRmi9E+fExXJ50UFFx+La&#10;PDrerzahFdxyH4FuBj1hdAYGy0oK+JjX1t9OIvyveo56vvDF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6WFru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color w:val="000000"/>
                        <w:sz w:val="24"/>
                        <w:szCs w:val="24"/>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r>
                      <w:rPr>
                        <w:rFonts w:hint="eastAsia" w:ascii="宋体" w:hAnsi="宋体" w:eastAsia="宋体" w:cs="宋体"/>
                        <w:color w:val="000000"/>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PXYSGwIAACk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JsWKTIg+TZrq3HqSYrfp+lE3&#10;tj5iUm/PZAmOrxq0csdCfGAe7ED7YHy8xyOVRUnbS5TsrP/8N3uKx9LgpaQF2ypqcA6UqHcGy0zE&#10;HAQ/CJtBMHt9Y0HfMS7J8SziBx/VIEpv9SecwTLVkEwFJGaGoxoWNYg3EVrvxDlxsVxedFDRsXhn&#10;1o73q01oBbfcR6CbQU8YnYHBspICPua19beTCP+rnqOeLn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RPXYS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4"/>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rUSmGgIAACk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aUGKbB0fnrl/O3H+fvnwls&#10;AKh1YYa4jUNk7F7brqLRH8TgCrCn0TvpdfpiKIIQoH26Iiy6SDiM4+lkOi3h4vANCkoUT787H+Ib&#10;YTVJQkU9KMzIsuM6xEvoEJKqGbtqlMo0KkPait68fFXmH64eJFcmxYq8EH2aNNWl9STFbtv1o25t&#10;fcKk3l6WJTi+atDKmoX4yDy2A+1j4+MDHqksStpeomRv/ae/2VM8SIOXkhbbVlGDc6BEvTUgMy3m&#10;IPhB2A6COeg7i/UFP+gli/jBRzWI0lv9EWewTDUkUwGJmeGoBqIG8S5C6504Jy6Wy6uOVXQsrs3G&#10;8Z7ahFZwy0MEuhn0hNEFGJCVFOxjpq2/nbTwv+o56unC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FCtRKYaAgAAKQQAAA4AAAAAAAAAAQAgAAAANQEAAGRycy9lMm9Eb2MueG1sUEsFBgAA&#10;AAAGAAYAWQEAAMEFA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E9113"/>
    <w:rsid w:val="1B7E584F"/>
    <w:rsid w:val="3CF79BE5"/>
    <w:rsid w:val="3F731A58"/>
    <w:rsid w:val="43FFF04B"/>
    <w:rsid w:val="4FFFF264"/>
    <w:rsid w:val="57FFC637"/>
    <w:rsid w:val="5E4FEC64"/>
    <w:rsid w:val="5FFFAF91"/>
    <w:rsid w:val="61EFB5D0"/>
    <w:rsid w:val="6E9F7A4D"/>
    <w:rsid w:val="6EDF6A1B"/>
    <w:rsid w:val="6FD1D8FD"/>
    <w:rsid w:val="6FFF97CA"/>
    <w:rsid w:val="73463F16"/>
    <w:rsid w:val="77AD828B"/>
    <w:rsid w:val="77E7214E"/>
    <w:rsid w:val="7AFD13C3"/>
    <w:rsid w:val="7BCE9113"/>
    <w:rsid w:val="7EEE7417"/>
    <w:rsid w:val="7F5AD762"/>
    <w:rsid w:val="7FB908A6"/>
    <w:rsid w:val="9EDFC303"/>
    <w:rsid w:val="9EF8414B"/>
    <w:rsid w:val="ABDFB61F"/>
    <w:rsid w:val="ADFAA8AF"/>
    <w:rsid w:val="AEDDB0BC"/>
    <w:rsid w:val="AFFE60C3"/>
    <w:rsid w:val="B3B82B0C"/>
    <w:rsid w:val="BBF36187"/>
    <w:rsid w:val="BFE7A8AC"/>
    <w:rsid w:val="DDAF1E33"/>
    <w:rsid w:val="DEDFAA44"/>
    <w:rsid w:val="DEFE4C23"/>
    <w:rsid w:val="DFF73FA3"/>
    <w:rsid w:val="EDDB18EF"/>
    <w:rsid w:val="EFF56BC3"/>
    <w:rsid w:val="EFFC1A30"/>
    <w:rsid w:val="F6FC143F"/>
    <w:rsid w:val="F7D25610"/>
    <w:rsid w:val="F7F7909D"/>
    <w:rsid w:val="F8FF51A7"/>
    <w:rsid w:val="FDBEBB05"/>
    <w:rsid w:val="FEEB3413"/>
    <w:rsid w:val="FFF653CC"/>
    <w:rsid w:val="FFFF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Table Paragraph"/>
    <w:basedOn w:val="1"/>
    <w:qFormat/>
    <w:uiPriority w:val="1"/>
    <w:pPr>
      <w:spacing w:after="160" w:line="278" w:lineRule="auto"/>
      <w:jc w:val="left"/>
    </w:pPr>
    <w:rPr>
      <w:rFonts w:ascii="Calibri" w:hAnsi="Calibri" w:eastAsia="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2025-05-21T00:17:00Z</dcterms:created>
  <dc:creator>user</dc:creator>
  <cp:lastModifiedBy>user</cp:lastModifiedBy>
  <dcterms:modified xsi:type="dcterms:W3CDTF">2025-05-30T11:53:11Z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