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r>
        <w:rPr>
          <w:rFonts w:hint="eastAsia" w:eastAsia="方正小标宋简体" w:cs="Times New Roman"/>
          <w:color w:val="auto"/>
          <w:sz w:val="44"/>
          <w:szCs w:val="44"/>
          <w:highlight w:val="none"/>
          <w:lang w:val="en-US" w:eastAsia="zh-CN"/>
        </w:rPr>
        <w:t>（活动名称</w:t>
      </w:r>
      <w:bookmarkStart w:id="0" w:name="_GoBack"/>
      <w:bookmarkEnd w:id="0"/>
      <w:r>
        <w:rPr>
          <w:rFonts w:hint="eastAsia" w:eastAsia="方正小标宋简体" w:cs="Times New Roman"/>
          <w:color w:val="auto"/>
          <w:sz w:val="44"/>
          <w:szCs w:val="44"/>
          <w:highlight w:val="none"/>
          <w:lang w:val="en-US" w:eastAsia="zh-CN"/>
        </w:rPr>
        <w:t>）</w:t>
      </w:r>
      <w:r>
        <w:rPr>
          <w:rFonts w:hint="eastAsia" w:ascii="Times New Roman" w:hAnsi="Times New Roman" w:eastAsia="方正小标宋简体" w:cs="Times New Roman"/>
          <w:color w:val="auto"/>
          <w:sz w:val="44"/>
          <w:szCs w:val="44"/>
          <w:highlight w:val="none"/>
          <w:lang w:val="en-US" w:eastAsia="zh-CN"/>
        </w:rPr>
        <w:t>三亚市大型活动资金项目绩效评价标准表</w:t>
      </w:r>
    </w:p>
    <w:tbl>
      <w:tblPr>
        <w:tblStyle w:val="10"/>
        <w:tblW w:w="20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55"/>
        <w:gridCol w:w="1656"/>
        <w:gridCol w:w="1441"/>
        <w:gridCol w:w="1024"/>
        <w:gridCol w:w="1172"/>
        <w:gridCol w:w="1536"/>
        <w:gridCol w:w="1296"/>
        <w:gridCol w:w="1296"/>
        <w:gridCol w:w="1764"/>
        <w:gridCol w:w="381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blHeader/>
        </w:trPr>
        <w:tc>
          <w:tcPr>
            <w:tcW w:w="1655"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一级指标</w:t>
            </w:r>
          </w:p>
        </w:tc>
        <w:tc>
          <w:tcPr>
            <w:tcW w:w="1655"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二级指标</w:t>
            </w:r>
          </w:p>
        </w:tc>
        <w:tc>
          <w:tcPr>
            <w:tcW w:w="1656"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三级指标</w:t>
            </w:r>
          </w:p>
        </w:tc>
        <w:tc>
          <w:tcPr>
            <w:tcW w:w="1441"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权重分值</w:t>
            </w:r>
          </w:p>
        </w:tc>
        <w:tc>
          <w:tcPr>
            <w:tcW w:w="8088" w:type="dxa"/>
            <w:gridSpan w:val="6"/>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b/>
                <w:bCs w:val="0"/>
                <w:color w:val="auto"/>
                <w:sz w:val="22"/>
                <w:szCs w:val="21"/>
                <w:highlight w:val="none"/>
                <w:vertAlign w:val="baseline"/>
                <w:lang w:val="en-US" w:eastAsia="zh-CN"/>
              </w:rPr>
            </w:pPr>
            <w:r>
              <w:rPr>
                <w:rFonts w:hint="eastAsia" w:ascii="宋体" w:hAnsi="宋体" w:eastAsia="宋体" w:cs="宋体"/>
                <w:b/>
                <w:bCs w:val="0"/>
                <w:i w:val="0"/>
                <w:color w:val="auto"/>
                <w:kern w:val="0"/>
                <w:sz w:val="28"/>
                <w:szCs w:val="28"/>
                <w:highlight w:val="none"/>
                <w:u w:val="none"/>
                <w:lang w:val="en-US" w:eastAsia="zh-CN" w:bidi="ar"/>
              </w:rPr>
              <w:t>参考标准</w:t>
            </w:r>
          </w:p>
        </w:tc>
        <w:tc>
          <w:tcPr>
            <w:tcW w:w="3816"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绩效目标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（申报单位填写）</w:t>
            </w:r>
          </w:p>
        </w:tc>
        <w:tc>
          <w:tcPr>
            <w:tcW w:w="2640"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自评得分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val="0"/>
                <w:i w:val="0"/>
                <w:color w:val="auto"/>
                <w:kern w:val="0"/>
                <w:sz w:val="28"/>
                <w:szCs w:val="28"/>
                <w:highlight w:val="none"/>
                <w:u w:val="none"/>
                <w:lang w:val="en-US" w:eastAsia="zh-CN" w:bidi="ar"/>
              </w:rPr>
            </w:pPr>
            <w:r>
              <w:rPr>
                <w:rFonts w:hint="eastAsia" w:ascii="宋体" w:hAnsi="宋体" w:cs="宋体"/>
                <w:b/>
                <w:bCs w:val="0"/>
                <w:i w:val="0"/>
                <w:color w:val="auto"/>
                <w:kern w:val="0"/>
                <w:sz w:val="28"/>
                <w:szCs w:val="28"/>
                <w:highlight w:val="none"/>
                <w:u w:val="none"/>
                <w:lang w:val="en-US" w:eastAsia="zh-CN" w:bidi="ar"/>
              </w:rPr>
              <w:t>（申报单位填写）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1.经济效益</w:t>
            </w:r>
          </w:p>
        </w:tc>
        <w:tc>
          <w:tcPr>
            <w:tcW w:w="1655" w:type="dxa"/>
            <w:vMerge w:val="restart"/>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旅游产业经济带动成效</w:t>
            </w: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对三亚产生的直接经济效益</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0—10分：</w:t>
            </w:r>
            <w:r>
              <w:rPr>
                <w:rFonts w:hint="eastAsia" w:ascii="宋体" w:hAnsi="宋体" w:eastAsia="宋体" w:cs="宋体"/>
                <w:i w:val="0"/>
                <w:color w:val="auto"/>
                <w:kern w:val="0"/>
                <w:sz w:val="24"/>
                <w:szCs w:val="24"/>
                <w:highlight w:val="none"/>
                <w:u w:val="none"/>
                <w:lang w:val="en-US" w:eastAsia="zh-CN" w:bidi="ar"/>
              </w:rPr>
              <w:t>直接经济效益/活动总支出，按实际计算结果赋分</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5</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4</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3</w:t>
            </w:r>
          </w:p>
          <w:p>
            <w:pPr>
              <w:keepNext w:val="0"/>
              <w:keepLines w:val="0"/>
              <w:widowControl/>
              <w:suppressLineNumbers w:val="0"/>
              <w:tabs>
                <w:tab w:val="left" w:pos="1565"/>
              </w:tabs>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ab/>
            </w:r>
          </w:p>
          <w:p>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w:t>
            </w:r>
            <w:r>
              <w:rPr>
                <w:rFonts w:hint="eastAsia" w:ascii="宋体" w:hAnsi="宋体" w:cs="宋体"/>
                <w:i w:val="0"/>
                <w:color w:val="auto"/>
                <w:kern w:val="0"/>
                <w:sz w:val="24"/>
                <w:szCs w:val="24"/>
                <w:highlight w:val="none"/>
                <w:u w:val="none"/>
                <w:lang w:val="en-US" w:eastAsia="zh-CN" w:bidi="ar"/>
              </w:rPr>
              <w:t>1.2</w:t>
            </w:r>
          </w:p>
          <w:p>
            <w:pPr>
              <w:widowControl/>
              <w:jc w:val="left"/>
              <w:textAlignment w:val="center"/>
              <w:rPr>
                <w:rFonts w:hint="default"/>
                <w:color w:val="auto"/>
                <w:lang w:val="en-US" w:eastAsia="zh-CN"/>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对三亚产生的间接经济效益</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0-10分：间接经济效益/活动总支出，按实际计算结果赋分。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10分：≥</w:t>
            </w:r>
            <w:r>
              <w:rPr>
                <w:rFonts w:hint="eastAsia" w:ascii="宋体" w:hAnsi="宋体" w:cs="宋体"/>
                <w:i w:val="0"/>
                <w:color w:val="auto"/>
                <w:kern w:val="0"/>
                <w:sz w:val="24"/>
                <w:szCs w:val="24"/>
                <w:highlight w:val="none"/>
                <w:u w:val="none"/>
                <w:lang w:val="en-US" w:eastAsia="zh-CN" w:bidi="ar"/>
              </w:rPr>
              <w:t>13</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9分：≥</w:t>
            </w:r>
            <w:r>
              <w:rPr>
                <w:rFonts w:hint="eastAsia" w:ascii="宋体" w:hAnsi="宋体" w:cs="宋体"/>
                <w:i w:val="0"/>
                <w:color w:val="auto"/>
                <w:kern w:val="0"/>
                <w:sz w:val="24"/>
                <w:szCs w:val="24"/>
                <w:highlight w:val="none"/>
                <w:u w:val="none"/>
                <w:lang w:val="en-US" w:eastAsia="zh-CN" w:bidi="ar"/>
              </w:rPr>
              <w:t>11</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8分：≥</w:t>
            </w:r>
            <w:r>
              <w:rPr>
                <w:rFonts w:hint="eastAsia" w:ascii="宋体" w:hAnsi="宋体" w:cs="宋体"/>
                <w:i w:val="0"/>
                <w:color w:val="auto"/>
                <w:kern w:val="0"/>
                <w:sz w:val="24"/>
                <w:szCs w:val="24"/>
                <w:highlight w:val="none"/>
                <w:u w:val="none"/>
                <w:lang w:val="en-US" w:eastAsia="zh-CN" w:bidi="ar"/>
              </w:rPr>
              <w:t>9</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7分：≥</w:t>
            </w:r>
            <w:r>
              <w:rPr>
                <w:rFonts w:hint="eastAsia" w:ascii="宋体" w:hAnsi="宋体" w:cs="宋体"/>
                <w:i w:val="0"/>
                <w:color w:val="auto"/>
                <w:kern w:val="0"/>
                <w:sz w:val="24"/>
                <w:szCs w:val="24"/>
                <w:highlight w:val="none"/>
                <w:u w:val="none"/>
                <w:lang w:val="en-US" w:eastAsia="zh-CN" w:bidi="ar"/>
              </w:rPr>
              <w:t>7</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6分：≥5</w:t>
            </w: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bidi="ar"/>
              </w:rPr>
            </w:pP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活动参与人群对三亚经营性住宿场所入住率的贡献程度</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0-5分：活动参与人群入住三亚经营性住宿设施总人次/当月全市经营性住宿入住总人次，按计算结果赋分。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w:t>
            </w:r>
            <w:r>
              <w:rPr>
                <w:rFonts w:hint="eastAsia" w:ascii="宋体" w:hAnsi="宋体" w:cs="宋体"/>
                <w:i w:val="0"/>
                <w:color w:val="auto"/>
                <w:kern w:val="0"/>
                <w:sz w:val="24"/>
                <w:szCs w:val="24"/>
                <w:highlight w:val="none"/>
                <w:u w:val="none"/>
                <w:lang w:val="en-US" w:eastAsia="zh-CN" w:bidi="ar"/>
              </w:rPr>
              <w:t>1.5</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w:t>
            </w:r>
            <w:r>
              <w:rPr>
                <w:rFonts w:hint="eastAsia" w:ascii="宋体" w:hAnsi="宋体" w:cs="宋体"/>
                <w:i w:val="0"/>
                <w:color w:val="auto"/>
                <w:kern w:val="0"/>
                <w:sz w:val="24"/>
                <w:szCs w:val="24"/>
                <w:highlight w:val="none"/>
                <w:u w:val="none"/>
                <w:lang w:val="en-US" w:eastAsia="zh-CN" w:bidi="ar"/>
              </w:rPr>
              <w:t>1.1</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8</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2分：≥0.</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1分：≥0.</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p>
            <w:pPr>
              <w:keepNext w:val="0"/>
              <w:keepLines w:val="0"/>
              <w:widowControl/>
              <w:suppressLineNumbers w:val="0"/>
              <w:jc w:val="left"/>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活动参与人群包括直接报名人员、嘉宾、亲友团、工作人员、现场观众（售票、入场券、入口闸机等方式统计）；单人入住次数按天叠加统计。</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活动市场化运作效果</w:t>
            </w:r>
          </w:p>
        </w:tc>
        <w:tc>
          <w:tcPr>
            <w:tcW w:w="1656"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活动营收情况</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0-5分：通过对比活动申报项目营收计划的完成情况按比例赋分。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5分：实现活动预期营收计划达到90%。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4分：实现活动预期营收计划达到80%。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3分：实现活动预期营收计划达到60%。</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2分：实现活动预期营收计划达到50%。</w:t>
            </w: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若上述均不满足，该项不得分。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1.小计</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2.社会效益</w:t>
            </w: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本土品牌活动培育</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0-5分：符合三亚现阶段重点文旅体产业发展方向的高端品牌活动，综合赋分。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*具体活动范围以三亚</w:t>
            </w:r>
            <w:r>
              <w:rPr>
                <w:rFonts w:hint="eastAsia" w:ascii="宋体" w:hAnsi="宋体" w:cs="宋体"/>
                <w:i w:val="0"/>
                <w:color w:val="auto"/>
                <w:kern w:val="0"/>
                <w:sz w:val="24"/>
                <w:szCs w:val="24"/>
                <w:highlight w:val="none"/>
                <w:u w:val="none"/>
                <w:lang w:val="en-US" w:eastAsia="zh-CN" w:bidi="ar"/>
              </w:rPr>
              <w:t>市旅游文化体育主管部门</w:t>
            </w:r>
            <w:r>
              <w:rPr>
                <w:rFonts w:hint="eastAsia" w:ascii="宋体" w:hAnsi="宋体" w:eastAsia="宋体" w:cs="宋体"/>
                <w:i w:val="0"/>
                <w:color w:val="auto"/>
                <w:kern w:val="0"/>
                <w:sz w:val="24"/>
                <w:szCs w:val="24"/>
                <w:highlight w:val="none"/>
                <w:u w:val="none"/>
                <w:lang w:val="en-US" w:eastAsia="zh-CN" w:bidi="ar"/>
              </w:rPr>
              <w:t>每年发布的项目申报指南为参考依据。</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促进旅游季节性平衡</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0-5分：鼓励在三亚旅游淡季或全年活动最不密集时段举办，视情赋分。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2.小计</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w:t>
            </w:r>
          </w:p>
        </w:tc>
        <w:tc>
          <w:tcPr>
            <w:tcW w:w="8088" w:type="dxa"/>
            <w:gridSpan w:val="6"/>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3.活动规模</w:t>
            </w: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活动参与情况</w:t>
            </w:r>
          </w:p>
        </w:tc>
        <w:tc>
          <w:tcPr>
            <w:tcW w:w="1656"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平均单场次人数</w:t>
            </w:r>
          </w:p>
        </w:tc>
        <w:tc>
          <w:tcPr>
            <w:tcW w:w="144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02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10000及以上</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5000-9999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3000-4999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1000-2999</w:t>
            </w:r>
          </w:p>
        </w:tc>
        <w:tc>
          <w:tcPr>
            <w:tcW w:w="1764"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500-999</w:t>
            </w:r>
          </w:p>
        </w:tc>
        <w:tc>
          <w:tcPr>
            <w:tcW w:w="381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764"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c>
          <w:tcPr>
            <w:tcW w:w="381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线下平均单场次人数，包括出席的嘉宾、参展商、选手、媒体、工作人员、现场观众。受不可抗力因素影响，则线上直接参与的境外嘉宾也纳入指标。人数统计根据交通住宿凭证、联系电话、签到表、售票预约平台的数据后台截图、回收票根、场地红外线扫描设备后台数据、多点位抽样调查结果、行政报批文件等相互佐证材料。</w:t>
            </w:r>
          </w:p>
        </w:tc>
        <w:tc>
          <w:tcPr>
            <w:tcW w:w="381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*日常经营的自然客流不计入。</w:t>
            </w:r>
          </w:p>
        </w:tc>
        <w:tc>
          <w:tcPr>
            <w:tcW w:w="381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*若线下有境外人数，则按线下境外人数占比提升分数，加至满分为止。例如平均单场次人数为500人，境外参与人数占比30%，则分数为2*（1+30%）=2.6分。</w:t>
            </w:r>
          </w:p>
        </w:tc>
        <w:tc>
          <w:tcPr>
            <w:tcW w:w="381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累计总人数</w:t>
            </w:r>
          </w:p>
        </w:tc>
        <w:tc>
          <w:tcPr>
            <w:tcW w:w="144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02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人数（人）</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20000及以上</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10000-19999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6000-9999</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2000-5999</w:t>
            </w:r>
          </w:p>
        </w:tc>
        <w:tc>
          <w:tcPr>
            <w:tcW w:w="1764"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500-1999</w:t>
            </w:r>
          </w:p>
        </w:tc>
        <w:tc>
          <w:tcPr>
            <w:tcW w:w="381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得分</w:t>
            </w:r>
          </w:p>
        </w:tc>
        <w:tc>
          <w:tcPr>
            <w:tcW w:w="1172"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53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8</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29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764"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w:t>
            </w:r>
          </w:p>
        </w:tc>
        <w:tc>
          <w:tcPr>
            <w:tcW w:w="381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*指各场次人数总和，统计标准同单场次人数。</w:t>
            </w:r>
          </w:p>
        </w:tc>
        <w:tc>
          <w:tcPr>
            <w:tcW w:w="381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知名嘉宾</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5分：邀请高端嘉宾深度参与活动。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3分：邀请顶尖专家深度参与活动，或邀请国际知名演艺人员参与活动。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1分：邀请国内知名嘉宾参与活动，或邀请国内知名演艺人员参与活动。</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*高端嘉宾：境内外国家（地区）副部级及以上现任官员；诺贝尔奖获得者、两院院士、长江学者；世界500强全球副总裁及以上人员；世界大学排名前50大学（上一年度QS、TIMES排行榜）。</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*顶尖专家：满足《海南自由贸易港高层次人才分类标准》专业领域关于A类和B类人才认定相关标准。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活动举办级别</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5分：国际性知名品牌活动或赛事，或主办单位为国际性组织。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4分：全国性知名品牌活动或赛事，或主办单位为国家级行业协会学会、世界500强企业。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3分：区域性知名品牌活动或赛事，或主办单位为中国500强、中国行业20强企业。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2分：省级知名品牌活动或赛事，或主办单位为省级组织、省级100强企业。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1分：市级知名品牌活动或赛事，或市级单位为市级组织、市级100强企业。</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*国际性组织：纳入《国际组织年鉴》中的国际性政府间组织和非政府组织。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*国家级行业协会或学会：在国务院民政管理部门登记备案，并接受年度检查的社会法人团体。</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3.小计</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55" w:type="dxa"/>
            <w:vMerge w:val="restart"/>
            <w:vAlign w:val="center"/>
          </w:tcPr>
          <w:p>
            <w:pPr>
              <w:jc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4.活动影响力</w:t>
            </w: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品牌影响力与可持续性</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举办届数</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5分：举办超过15届；或在三亚已举办超过10届；或知名商业品牌活动在三亚首次举办，并协议连续举办三年及以上。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3分：举办超过10届；或在三亚已举办超过5届；或知名商业品牌活动在三亚举办，并协议连续举办三年及以上。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1分：举办超过5届；或在三亚已举办超过3届；或知名商业品牌活动在三亚举办，并协议连续举办两年及以上。</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活动热度</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3分：活动在新媒体等登上热搜榜前50，累计在榜时长≥12小时。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2分：活动在新媒体等登上热搜榜前50，累计在榜时长≥6小时。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1分：活动在新媒体等登上热搜榜前50，累计在榜时长≥1小时。</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境内新媒体满足一个平台标准即可，同平台不累计，历史数据不计入。</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媒体宣传推广情况</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新闻媒体发稿情况</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6分：境内新闻媒体发稿总量300条及以上，其中：央媒发稿量20条及以上，境外新闻媒体发稿量10条及以上。</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5分：境内新闻媒体发稿总量200-299条，其中：央媒发稿量11-19条，境外新闻媒体发稿量4-9条。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4分：境内新闻媒体发稿总量100-199条，其中：央媒发稿量6-10条，境外新闻媒体发稿量2-3条。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3分：境内新闻媒体发稿总量50-99条，其中，央媒发稿量3-5条，境外新闻媒体发稿量1条。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2分：境内新闻媒体发稿总量10-20条，其中，央媒发稿量1-2条。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1分：境内新闻媒体发稿总量3-9条。</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*央媒：包括中央重点新闻网站和央媒驻地方媒体。</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*境外新闻媒体：包括中国港澳台地区新闻媒体、外国新闻媒体。</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*媒体分类参考国家网信办《互联网新闻信息稿源单位名单》：https://mp.weixin.qq.com/s/mt5vdeH6f-wLpDpJsM0NOg</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新媒体原创内容累计阅读播放量</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单个平台原创内容（文字、图片、视频）累计阅读量/播放量满足：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6分：微博阅读达600万+或今日头条阅读达600万＋或微信阅读达600万+或其他新媒体阅读量/播放量达600万+。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5分：微博阅读达400万+或今日头条阅读达400万＋或微信阅读达400万+或其他新媒体阅读量/播放量达400万+。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4分：微博阅读达200万+或今日头条阅读达200万＋或微信阅读达200万+或其他新媒体阅读量/播放量达200万+。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3分：微博阅读达100万+或今日头条阅读达100万＋或微信阅读达100万+或其他新媒体阅读量/播放量达100万+。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2分：微博阅读达50万+或今日头条阅读达50万＋或微信阅读达50万+或其他新媒体阅读量/播放量达50万+。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1分：微博阅读达30万+或今日头条阅读达30万＋或微信阅读达30万+或其他新媒体阅读量/播放量达30万+。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*新媒体平台包含微信、微博、抖音、今日头条、小红书、Bilibili、Instagram、Facebook、Twitter、Tiktok、YouTube等社交、视频、新闻资讯等主流新媒体平台。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*上述条件满足一个平台标准即可，同平台不累计，历史数据不计入。</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*下文“优质视频切片数量”“视频点赞转发量”关于新媒体平台的定义及满足条件同理。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优质视频切片数量</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单条活动原创视频切片、直播切片满足：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5分：在抖音有8个视频点赞量1万+或快手有8个视频点赞量1万+或Bilibili（b站）有8个视频点赞量1万+或其他新媒体有8个视频点赞量1万+。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4分：在抖音有6个视频点赞量1万+或快手有6个视频点赞量1万+或Bilibili（b站）有6个视频点赞量1万+或其他新媒体有6个视频点赞量1万+。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3分：在抖音有4个视频点赞量1万+或快手有4个视频点赞量1万+或Bilibili（b站）有4个视频点赞量1万+或其他新媒体有4个视频点赞量1万+。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2分：在抖音有2个视频点赞量1万+或快手有2个视频点赞量1万+或Bilibili（b站）有2个视频点赞量1万+或其他新媒体有2个视频点赞量1万+。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1分：在抖音有1个视频点赞量1万+或快手有1个视频点赞量1万+或Bilibili（b站）有1个视频点赞量1万+或其他新媒体有1个视频点赞量1万+。</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视频点赞转发量</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单个平台原创内容（文字、图片、视频）累计点赞量及转发量满足：</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5分：微博点赞100万+，转发量20万+或抖音点赞100万+，转发量20万+或其他新媒体点赞量100万+，转发量20万+。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4分：微博点赞80万+，转发量16万+或抖音点赞80万+，转发量16万+或其他新媒体点赞量80万+，转发量16万+。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3分：微博点赞60万+，转发量12万+或抖音点赞60万+，转发量12万+或其他新媒体点赞量60万+，转发量12万+。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2分：微博点赞30万+，转发量6万+或抖音点赞30万+，转发量6万+或其他新媒体点赞量30万+，转发量6万+。</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1分：微博点赞15万+，转发量3万+或抖音点赞15万+，转发量3万+或其他新媒体点赞量15万+，转发量3万+。</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4.小计</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30</w:t>
            </w:r>
          </w:p>
        </w:tc>
        <w:tc>
          <w:tcPr>
            <w:tcW w:w="8088"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310" w:type="dxa"/>
            <w:gridSpan w:val="2"/>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5.正向附加分</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促进招商引资</w:t>
            </w:r>
          </w:p>
        </w:tc>
        <w:tc>
          <w:tcPr>
            <w:tcW w:w="144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20分</w:t>
            </w: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因活动引进和举办，当年新增旅游文体关联领域登记注册企业，每新增纳税主体1家附加5分。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*根据申报单位提供的注册的新营业执照。</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促进旅文体公共服务基础设施完善</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因活动引进和举办，促进我市旅游文体公共服务设施每新增或升级一处附加5分。</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*根据申报单位提供设施新建或升级的立项证明或完工证明。</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其他促进封关运作后自贸港建设的事项</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*根据活动对封关运作后对三亚建设海南自由贸易港、海南国际旅游消费中心核心区等有关战略目标有重大正面影响力的实际情况，酌情评判加分。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restart"/>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6.负向及红线指标</w:t>
            </w: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违法违规</w:t>
            </w:r>
          </w:p>
        </w:tc>
        <w:tc>
          <w:tcPr>
            <w:tcW w:w="1441"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default" w:ascii="Arial" w:hAnsi="Arial" w:eastAsia="宋体" w:cs="Aria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-100分</w:t>
            </w:r>
          </w:p>
        </w:tc>
        <w:tc>
          <w:tcPr>
            <w:tcW w:w="8088" w:type="dxa"/>
            <w:gridSpan w:val="6"/>
            <w:vMerge w:val="restart"/>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*根据事态严重性、处理应对结果进行评判扣分。</w:t>
            </w:r>
          </w:p>
        </w:tc>
        <w:tc>
          <w:tcPr>
            <w:tcW w:w="381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安全事故</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群众投诉</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意识形态错误</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keepNext w:val="0"/>
              <w:keepLines w:val="0"/>
              <w:widowControl/>
              <w:suppressLineNumbers w:val="0"/>
              <w:jc w:val="center"/>
              <w:textAlignment w:val="center"/>
              <w:rPr>
                <w:color w:val="auto"/>
                <w:highlight w:val="none"/>
              </w:rPr>
            </w:pPr>
            <w:r>
              <w:rPr>
                <w:rFonts w:hint="eastAsia" w:ascii="宋体" w:hAnsi="宋体" w:cs="宋体"/>
                <w:i w:val="0"/>
                <w:color w:val="auto"/>
                <w:kern w:val="0"/>
                <w:sz w:val="24"/>
                <w:szCs w:val="24"/>
                <w:highlight w:val="none"/>
                <w:u w:val="none"/>
                <w:lang w:val="en-US" w:eastAsia="zh-CN" w:bidi="ar"/>
              </w:rPr>
              <w:t>破坏</w:t>
            </w:r>
            <w:r>
              <w:rPr>
                <w:rFonts w:hint="eastAsia" w:ascii="宋体" w:hAnsi="宋体" w:eastAsia="宋体" w:cs="宋体"/>
                <w:i w:val="0"/>
                <w:color w:val="auto"/>
                <w:kern w:val="0"/>
                <w:sz w:val="24"/>
                <w:szCs w:val="24"/>
                <w:highlight w:val="none"/>
                <w:u w:val="none"/>
                <w:lang w:val="en-US" w:eastAsia="zh-CN" w:bidi="ar"/>
              </w:rPr>
              <w:t>生态环境</w:t>
            </w:r>
          </w:p>
        </w:tc>
        <w:tc>
          <w:tcPr>
            <w:tcW w:w="144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8088"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655" w:type="dxa"/>
            <w:vAlign w:val="center"/>
          </w:tcPr>
          <w:p>
            <w:pPr>
              <w:jc w:val="center"/>
              <w:rPr>
                <w:color w:val="auto"/>
                <w:highlight w:val="none"/>
              </w:rPr>
            </w:pPr>
          </w:p>
        </w:tc>
        <w:tc>
          <w:tcPr>
            <w:tcW w:w="1656" w:type="dxa"/>
            <w:vAlign w:val="center"/>
          </w:tcPr>
          <w:p>
            <w:pPr>
              <w:jc w:val="center"/>
              <w:rPr>
                <w:color w:val="auto"/>
                <w:highlight w:val="none"/>
              </w:rPr>
            </w:pPr>
          </w:p>
        </w:tc>
        <w:tc>
          <w:tcPr>
            <w:tcW w:w="1441" w:type="dxa"/>
            <w:vAlign w:val="center"/>
          </w:tcPr>
          <w:p>
            <w:pPr>
              <w:jc w:val="center"/>
              <w:rPr>
                <w:rFonts w:hint="eastAsia" w:ascii="宋体" w:hAnsi="宋体" w:eastAsia="宋体" w:cs="宋体"/>
                <w:b/>
                <w:i w:val="0"/>
                <w:color w:val="auto"/>
                <w:kern w:val="0"/>
                <w:sz w:val="24"/>
                <w:szCs w:val="24"/>
                <w:highlight w:val="none"/>
                <w:u w:val="none"/>
                <w:lang w:val="en-US" w:eastAsia="zh-CN" w:bidi="ar"/>
              </w:rPr>
            </w:pPr>
          </w:p>
        </w:tc>
        <w:tc>
          <w:tcPr>
            <w:tcW w:w="1024"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172"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53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1764"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6" w:type="dxa"/>
            <w:gridSpan w:val="3"/>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bidi="ar"/>
              </w:rPr>
              <w:t>合计</w:t>
            </w:r>
          </w:p>
        </w:tc>
        <w:tc>
          <w:tcPr>
            <w:tcW w:w="144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100</w:t>
            </w:r>
          </w:p>
        </w:tc>
        <w:tc>
          <w:tcPr>
            <w:tcW w:w="8088" w:type="dxa"/>
            <w:gridSpan w:val="6"/>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3816"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c>
          <w:tcPr>
            <w:tcW w:w="2640" w:type="dxa"/>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bl>
    <w:p>
      <w:pPr>
        <w:pStyle w:val="2"/>
        <w:rPr>
          <w:rFonts w:hint="default"/>
          <w:color w:val="auto"/>
          <w:highlight w:val="none"/>
          <w:lang w:val="en-US" w:eastAsia="zh-CN"/>
        </w:rPr>
      </w:pPr>
    </w:p>
    <w:sectPr>
      <w:pgSz w:w="23757" w:h="16783" w:orient="landscape"/>
      <w:pgMar w:top="1587" w:right="1417" w:bottom="1474" w:left="141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56D87B1F"/>
    <w:rsid w:val="001A7969"/>
    <w:rsid w:val="00366491"/>
    <w:rsid w:val="00382DEE"/>
    <w:rsid w:val="0042792B"/>
    <w:rsid w:val="00662264"/>
    <w:rsid w:val="00811067"/>
    <w:rsid w:val="014337F8"/>
    <w:rsid w:val="0193268C"/>
    <w:rsid w:val="01CA5480"/>
    <w:rsid w:val="01CC35D1"/>
    <w:rsid w:val="02377801"/>
    <w:rsid w:val="02675628"/>
    <w:rsid w:val="02E903CF"/>
    <w:rsid w:val="0330769D"/>
    <w:rsid w:val="03777F08"/>
    <w:rsid w:val="0385634A"/>
    <w:rsid w:val="03957EC1"/>
    <w:rsid w:val="03B922E9"/>
    <w:rsid w:val="03F76759"/>
    <w:rsid w:val="0433224A"/>
    <w:rsid w:val="047C0850"/>
    <w:rsid w:val="0521167B"/>
    <w:rsid w:val="054B5C64"/>
    <w:rsid w:val="056326BB"/>
    <w:rsid w:val="05774056"/>
    <w:rsid w:val="05F11A75"/>
    <w:rsid w:val="06006999"/>
    <w:rsid w:val="061B11E8"/>
    <w:rsid w:val="06CA1A5D"/>
    <w:rsid w:val="06E71D37"/>
    <w:rsid w:val="07504EC1"/>
    <w:rsid w:val="07505B8A"/>
    <w:rsid w:val="086A0535"/>
    <w:rsid w:val="088648AE"/>
    <w:rsid w:val="089805D5"/>
    <w:rsid w:val="08E049BC"/>
    <w:rsid w:val="09811362"/>
    <w:rsid w:val="09A45035"/>
    <w:rsid w:val="09D276E2"/>
    <w:rsid w:val="09FE29B2"/>
    <w:rsid w:val="0A552520"/>
    <w:rsid w:val="0A55285C"/>
    <w:rsid w:val="0AD12D78"/>
    <w:rsid w:val="0ADA51CD"/>
    <w:rsid w:val="0B7F1085"/>
    <w:rsid w:val="0B826015"/>
    <w:rsid w:val="0C665D6D"/>
    <w:rsid w:val="0C923562"/>
    <w:rsid w:val="0CA75972"/>
    <w:rsid w:val="0CD86119"/>
    <w:rsid w:val="0D41283F"/>
    <w:rsid w:val="0D4F61B9"/>
    <w:rsid w:val="0D5A0848"/>
    <w:rsid w:val="0D6270C2"/>
    <w:rsid w:val="0D6E42F3"/>
    <w:rsid w:val="0D7C07BE"/>
    <w:rsid w:val="0DA038B3"/>
    <w:rsid w:val="0EBD49D2"/>
    <w:rsid w:val="0EC66ABD"/>
    <w:rsid w:val="0ED95707"/>
    <w:rsid w:val="0EE7435D"/>
    <w:rsid w:val="0F3C68A1"/>
    <w:rsid w:val="0F784FB5"/>
    <w:rsid w:val="0FC65D20"/>
    <w:rsid w:val="0FF6114A"/>
    <w:rsid w:val="101A2BA5"/>
    <w:rsid w:val="10574DEB"/>
    <w:rsid w:val="1066305F"/>
    <w:rsid w:val="11141F7D"/>
    <w:rsid w:val="113C2D37"/>
    <w:rsid w:val="11804CE9"/>
    <w:rsid w:val="11BA1147"/>
    <w:rsid w:val="11DD55A3"/>
    <w:rsid w:val="12853CE2"/>
    <w:rsid w:val="13152F7E"/>
    <w:rsid w:val="131D78BE"/>
    <w:rsid w:val="134E49AB"/>
    <w:rsid w:val="137013F3"/>
    <w:rsid w:val="1378752A"/>
    <w:rsid w:val="13B566D0"/>
    <w:rsid w:val="13BE6A17"/>
    <w:rsid w:val="13DC1FB6"/>
    <w:rsid w:val="13E83CFB"/>
    <w:rsid w:val="13F99A00"/>
    <w:rsid w:val="14310433"/>
    <w:rsid w:val="14406B2B"/>
    <w:rsid w:val="14971EBE"/>
    <w:rsid w:val="14DC1A75"/>
    <w:rsid w:val="15B841FE"/>
    <w:rsid w:val="15D679CF"/>
    <w:rsid w:val="1626576B"/>
    <w:rsid w:val="16677B31"/>
    <w:rsid w:val="16D50F3F"/>
    <w:rsid w:val="179A5554"/>
    <w:rsid w:val="17B8231D"/>
    <w:rsid w:val="17BF5E77"/>
    <w:rsid w:val="17C05A2B"/>
    <w:rsid w:val="17FC6AFE"/>
    <w:rsid w:val="184F7BC6"/>
    <w:rsid w:val="18B42C62"/>
    <w:rsid w:val="18EB136F"/>
    <w:rsid w:val="190B0505"/>
    <w:rsid w:val="190B7602"/>
    <w:rsid w:val="1928368D"/>
    <w:rsid w:val="19330334"/>
    <w:rsid w:val="199649B5"/>
    <w:rsid w:val="199E386A"/>
    <w:rsid w:val="1A3B37AF"/>
    <w:rsid w:val="1A6E148E"/>
    <w:rsid w:val="1ABF1CEA"/>
    <w:rsid w:val="1AF65D73"/>
    <w:rsid w:val="1B1F4E7E"/>
    <w:rsid w:val="1BF92DAD"/>
    <w:rsid w:val="1C084437"/>
    <w:rsid w:val="1C0F56CC"/>
    <w:rsid w:val="1D2B3DED"/>
    <w:rsid w:val="1D306ECF"/>
    <w:rsid w:val="1D7B48E1"/>
    <w:rsid w:val="1E062EE0"/>
    <w:rsid w:val="1E723DC4"/>
    <w:rsid w:val="1EBF5371"/>
    <w:rsid w:val="1EE91FBF"/>
    <w:rsid w:val="1F1D7927"/>
    <w:rsid w:val="1F470657"/>
    <w:rsid w:val="1F882FF2"/>
    <w:rsid w:val="1F9C4CF0"/>
    <w:rsid w:val="1FA15E62"/>
    <w:rsid w:val="1FD5916C"/>
    <w:rsid w:val="208F7FC0"/>
    <w:rsid w:val="20E00C0C"/>
    <w:rsid w:val="213C22E6"/>
    <w:rsid w:val="216A076B"/>
    <w:rsid w:val="220025D8"/>
    <w:rsid w:val="2254540E"/>
    <w:rsid w:val="22724761"/>
    <w:rsid w:val="22F15352"/>
    <w:rsid w:val="22F73DC9"/>
    <w:rsid w:val="230002D2"/>
    <w:rsid w:val="232D6F5D"/>
    <w:rsid w:val="238C474C"/>
    <w:rsid w:val="23DA7B95"/>
    <w:rsid w:val="244B6AD7"/>
    <w:rsid w:val="24DE6373"/>
    <w:rsid w:val="24EE1B49"/>
    <w:rsid w:val="24EF58C2"/>
    <w:rsid w:val="25551BC9"/>
    <w:rsid w:val="25560C10"/>
    <w:rsid w:val="257D2C18"/>
    <w:rsid w:val="25DF7045"/>
    <w:rsid w:val="26211590"/>
    <w:rsid w:val="2629095F"/>
    <w:rsid w:val="26370DD3"/>
    <w:rsid w:val="26923B7F"/>
    <w:rsid w:val="26A85D28"/>
    <w:rsid w:val="26B15148"/>
    <w:rsid w:val="272E6D31"/>
    <w:rsid w:val="279F35CF"/>
    <w:rsid w:val="27A83334"/>
    <w:rsid w:val="27B34984"/>
    <w:rsid w:val="28BF0563"/>
    <w:rsid w:val="28DE1ED5"/>
    <w:rsid w:val="29183639"/>
    <w:rsid w:val="296B5DC2"/>
    <w:rsid w:val="29922BAD"/>
    <w:rsid w:val="29E97BA4"/>
    <w:rsid w:val="2A075370"/>
    <w:rsid w:val="2A8D3BB3"/>
    <w:rsid w:val="2A8D5961"/>
    <w:rsid w:val="2AA168F3"/>
    <w:rsid w:val="2AA25843"/>
    <w:rsid w:val="2AAFC734"/>
    <w:rsid w:val="2B8F395A"/>
    <w:rsid w:val="2BA87B0B"/>
    <w:rsid w:val="2BCF3D57"/>
    <w:rsid w:val="2BE8382E"/>
    <w:rsid w:val="2C29688B"/>
    <w:rsid w:val="2C2C73FB"/>
    <w:rsid w:val="2C5941DA"/>
    <w:rsid w:val="2C6B1F6C"/>
    <w:rsid w:val="2CF55D49"/>
    <w:rsid w:val="2DD32012"/>
    <w:rsid w:val="2E243B05"/>
    <w:rsid w:val="2E7FDA41"/>
    <w:rsid w:val="2ECB4CA9"/>
    <w:rsid w:val="2ED43377"/>
    <w:rsid w:val="2ED54E09"/>
    <w:rsid w:val="2F023872"/>
    <w:rsid w:val="2F1332E5"/>
    <w:rsid w:val="2F2C457E"/>
    <w:rsid w:val="2F2F5238"/>
    <w:rsid w:val="2F59200D"/>
    <w:rsid w:val="2FCC3004"/>
    <w:rsid w:val="2FEC4ED7"/>
    <w:rsid w:val="30030454"/>
    <w:rsid w:val="303C5AC2"/>
    <w:rsid w:val="3078676B"/>
    <w:rsid w:val="309E4894"/>
    <w:rsid w:val="313A7EC4"/>
    <w:rsid w:val="32952336"/>
    <w:rsid w:val="32AF0DB6"/>
    <w:rsid w:val="330A6447"/>
    <w:rsid w:val="333A49B1"/>
    <w:rsid w:val="339E60CD"/>
    <w:rsid w:val="33BE6B8B"/>
    <w:rsid w:val="33FF50CB"/>
    <w:rsid w:val="33FF7A66"/>
    <w:rsid w:val="34847989"/>
    <w:rsid w:val="34983587"/>
    <w:rsid w:val="35CD57AB"/>
    <w:rsid w:val="35E70447"/>
    <w:rsid w:val="364F6183"/>
    <w:rsid w:val="36B454CA"/>
    <w:rsid w:val="36D9407C"/>
    <w:rsid w:val="372B4021"/>
    <w:rsid w:val="37330558"/>
    <w:rsid w:val="375810A4"/>
    <w:rsid w:val="377F194F"/>
    <w:rsid w:val="38107BD1"/>
    <w:rsid w:val="382611A3"/>
    <w:rsid w:val="38FC1AA0"/>
    <w:rsid w:val="396648EC"/>
    <w:rsid w:val="39D30EB6"/>
    <w:rsid w:val="3A34430B"/>
    <w:rsid w:val="3A3C2EFF"/>
    <w:rsid w:val="3A683CF4"/>
    <w:rsid w:val="3B7F4E52"/>
    <w:rsid w:val="3BF32330"/>
    <w:rsid w:val="3C746980"/>
    <w:rsid w:val="3D13447D"/>
    <w:rsid w:val="3D2A5291"/>
    <w:rsid w:val="3D7FC675"/>
    <w:rsid w:val="3D842BF3"/>
    <w:rsid w:val="3DAC3EF8"/>
    <w:rsid w:val="3EA218E1"/>
    <w:rsid w:val="3EB06B81"/>
    <w:rsid w:val="3EC32267"/>
    <w:rsid w:val="3EC35278"/>
    <w:rsid w:val="3F0324C4"/>
    <w:rsid w:val="3FBC5158"/>
    <w:rsid w:val="3FC16992"/>
    <w:rsid w:val="3FDD58B1"/>
    <w:rsid w:val="3FF74DC1"/>
    <w:rsid w:val="3FF990CB"/>
    <w:rsid w:val="3FFB2FE8"/>
    <w:rsid w:val="3FFFF257"/>
    <w:rsid w:val="4000748B"/>
    <w:rsid w:val="40526FD9"/>
    <w:rsid w:val="40921B5C"/>
    <w:rsid w:val="40CF1174"/>
    <w:rsid w:val="41055DF9"/>
    <w:rsid w:val="414215CC"/>
    <w:rsid w:val="4145432E"/>
    <w:rsid w:val="41644484"/>
    <w:rsid w:val="41C12FB2"/>
    <w:rsid w:val="41CA0DF1"/>
    <w:rsid w:val="4215398E"/>
    <w:rsid w:val="425C3D67"/>
    <w:rsid w:val="432B19E3"/>
    <w:rsid w:val="43376189"/>
    <w:rsid w:val="433C5D1E"/>
    <w:rsid w:val="436808C1"/>
    <w:rsid w:val="43851473"/>
    <w:rsid w:val="439434A5"/>
    <w:rsid w:val="43E447BF"/>
    <w:rsid w:val="44666E78"/>
    <w:rsid w:val="44827F89"/>
    <w:rsid w:val="44CB27B1"/>
    <w:rsid w:val="45B95398"/>
    <w:rsid w:val="45C52A6A"/>
    <w:rsid w:val="45EE0BDA"/>
    <w:rsid w:val="463A50F2"/>
    <w:rsid w:val="468477C0"/>
    <w:rsid w:val="4699558C"/>
    <w:rsid w:val="46B300A5"/>
    <w:rsid w:val="46DE52EB"/>
    <w:rsid w:val="47171B89"/>
    <w:rsid w:val="474358CD"/>
    <w:rsid w:val="4748265D"/>
    <w:rsid w:val="478040C9"/>
    <w:rsid w:val="479E48B1"/>
    <w:rsid w:val="47C83991"/>
    <w:rsid w:val="47E349BA"/>
    <w:rsid w:val="48203A55"/>
    <w:rsid w:val="48D013E2"/>
    <w:rsid w:val="4913057E"/>
    <w:rsid w:val="491422F5"/>
    <w:rsid w:val="49156B9E"/>
    <w:rsid w:val="49382AE4"/>
    <w:rsid w:val="4A2E1B1F"/>
    <w:rsid w:val="4B0435C5"/>
    <w:rsid w:val="4B2A072D"/>
    <w:rsid w:val="4B58121B"/>
    <w:rsid w:val="4BBA3C84"/>
    <w:rsid w:val="4C401D3E"/>
    <w:rsid w:val="4CB15D1C"/>
    <w:rsid w:val="4CBA4F64"/>
    <w:rsid w:val="4CFE2B9B"/>
    <w:rsid w:val="4D4B7289"/>
    <w:rsid w:val="4DA92202"/>
    <w:rsid w:val="4DAB5F7A"/>
    <w:rsid w:val="4E0336C0"/>
    <w:rsid w:val="4E313DB3"/>
    <w:rsid w:val="4E524648"/>
    <w:rsid w:val="4E778725"/>
    <w:rsid w:val="4E9A06AA"/>
    <w:rsid w:val="4EAF1A9A"/>
    <w:rsid w:val="4EE04532"/>
    <w:rsid w:val="4EE96D5A"/>
    <w:rsid w:val="4EEA4880"/>
    <w:rsid w:val="4EF53787"/>
    <w:rsid w:val="4F782C35"/>
    <w:rsid w:val="4FEC087A"/>
    <w:rsid w:val="4FFB9F99"/>
    <w:rsid w:val="4FFF9F00"/>
    <w:rsid w:val="502C2AED"/>
    <w:rsid w:val="5037550A"/>
    <w:rsid w:val="50574197"/>
    <w:rsid w:val="50720FD1"/>
    <w:rsid w:val="50874A7C"/>
    <w:rsid w:val="508F4072"/>
    <w:rsid w:val="50A8054F"/>
    <w:rsid w:val="50D70E34"/>
    <w:rsid w:val="50DB6B76"/>
    <w:rsid w:val="51263CA3"/>
    <w:rsid w:val="512D78DC"/>
    <w:rsid w:val="514940B1"/>
    <w:rsid w:val="517F641B"/>
    <w:rsid w:val="51B51175"/>
    <w:rsid w:val="51D33CF1"/>
    <w:rsid w:val="51EA3662"/>
    <w:rsid w:val="51F36CFA"/>
    <w:rsid w:val="521A547C"/>
    <w:rsid w:val="52260F6E"/>
    <w:rsid w:val="528B1A2F"/>
    <w:rsid w:val="528E3EFF"/>
    <w:rsid w:val="52ED0DE3"/>
    <w:rsid w:val="534529CD"/>
    <w:rsid w:val="537D4CE0"/>
    <w:rsid w:val="53AA7D83"/>
    <w:rsid w:val="53EFFFC0"/>
    <w:rsid w:val="543D6CB1"/>
    <w:rsid w:val="54AA6F8B"/>
    <w:rsid w:val="54F961C4"/>
    <w:rsid w:val="55690BF5"/>
    <w:rsid w:val="55AE21B4"/>
    <w:rsid w:val="55D67FF7"/>
    <w:rsid w:val="56316EE0"/>
    <w:rsid w:val="56772E9D"/>
    <w:rsid w:val="56D87B1F"/>
    <w:rsid w:val="579F31FE"/>
    <w:rsid w:val="57A21498"/>
    <w:rsid w:val="57C2639A"/>
    <w:rsid w:val="58C1460F"/>
    <w:rsid w:val="58EF5398"/>
    <w:rsid w:val="592272AD"/>
    <w:rsid w:val="59335ABA"/>
    <w:rsid w:val="59A71CEC"/>
    <w:rsid w:val="59E72CA7"/>
    <w:rsid w:val="5ABD72ED"/>
    <w:rsid w:val="5AFE3B8D"/>
    <w:rsid w:val="5B101B12"/>
    <w:rsid w:val="5B1213E7"/>
    <w:rsid w:val="5B296730"/>
    <w:rsid w:val="5B91577F"/>
    <w:rsid w:val="5B963993"/>
    <w:rsid w:val="5BB46BD5"/>
    <w:rsid w:val="5BE2700B"/>
    <w:rsid w:val="5C6439D1"/>
    <w:rsid w:val="5C8816B4"/>
    <w:rsid w:val="5C91317D"/>
    <w:rsid w:val="5D6F272E"/>
    <w:rsid w:val="5DA84256"/>
    <w:rsid w:val="5DE2588C"/>
    <w:rsid w:val="5E3B2C2C"/>
    <w:rsid w:val="5E8F3527"/>
    <w:rsid w:val="5EE17A4E"/>
    <w:rsid w:val="5EF01A3F"/>
    <w:rsid w:val="5EF3F159"/>
    <w:rsid w:val="5F351B48"/>
    <w:rsid w:val="5F4CCE4D"/>
    <w:rsid w:val="5F8925D3"/>
    <w:rsid w:val="6005151A"/>
    <w:rsid w:val="604A0030"/>
    <w:rsid w:val="6053601C"/>
    <w:rsid w:val="60AA066E"/>
    <w:rsid w:val="60B116A2"/>
    <w:rsid w:val="611C24EC"/>
    <w:rsid w:val="612C0D28"/>
    <w:rsid w:val="61CF4629"/>
    <w:rsid w:val="623936FD"/>
    <w:rsid w:val="629F5867"/>
    <w:rsid w:val="63231526"/>
    <w:rsid w:val="63C464CF"/>
    <w:rsid w:val="63E96592"/>
    <w:rsid w:val="63F316FD"/>
    <w:rsid w:val="640D4E41"/>
    <w:rsid w:val="647B7FFD"/>
    <w:rsid w:val="64882803"/>
    <w:rsid w:val="648F2712"/>
    <w:rsid w:val="64A71B53"/>
    <w:rsid w:val="64AB443F"/>
    <w:rsid w:val="64E536C8"/>
    <w:rsid w:val="65B349E3"/>
    <w:rsid w:val="65F20792"/>
    <w:rsid w:val="66986D5A"/>
    <w:rsid w:val="66C20165"/>
    <w:rsid w:val="66FE6C22"/>
    <w:rsid w:val="67050051"/>
    <w:rsid w:val="677BE93A"/>
    <w:rsid w:val="679C1ED9"/>
    <w:rsid w:val="67A72395"/>
    <w:rsid w:val="67E987F6"/>
    <w:rsid w:val="686D4100"/>
    <w:rsid w:val="689C44EF"/>
    <w:rsid w:val="68DC3034"/>
    <w:rsid w:val="69354294"/>
    <w:rsid w:val="695D5F23"/>
    <w:rsid w:val="697F058F"/>
    <w:rsid w:val="69871EDA"/>
    <w:rsid w:val="69A71894"/>
    <w:rsid w:val="69A771F5"/>
    <w:rsid w:val="69F0323B"/>
    <w:rsid w:val="6A093542"/>
    <w:rsid w:val="6A0F49C4"/>
    <w:rsid w:val="6A3A6264"/>
    <w:rsid w:val="6A470981"/>
    <w:rsid w:val="6A55309E"/>
    <w:rsid w:val="6AAB0A45"/>
    <w:rsid w:val="6AB40952"/>
    <w:rsid w:val="6ABF49BB"/>
    <w:rsid w:val="6B3B299E"/>
    <w:rsid w:val="6B47F63E"/>
    <w:rsid w:val="6B8A4FC9"/>
    <w:rsid w:val="6BAE0CB8"/>
    <w:rsid w:val="6BE826D8"/>
    <w:rsid w:val="6BF82CEA"/>
    <w:rsid w:val="6BFBE3A1"/>
    <w:rsid w:val="6C1659CB"/>
    <w:rsid w:val="6C2216A6"/>
    <w:rsid w:val="6C620B69"/>
    <w:rsid w:val="6CBB3B13"/>
    <w:rsid w:val="6CDB6FC7"/>
    <w:rsid w:val="6CDE1F0E"/>
    <w:rsid w:val="6CF05300"/>
    <w:rsid w:val="6D3C59A8"/>
    <w:rsid w:val="6D6F3D1B"/>
    <w:rsid w:val="6DF947B3"/>
    <w:rsid w:val="6DF9765E"/>
    <w:rsid w:val="6E265C41"/>
    <w:rsid w:val="6E7733BC"/>
    <w:rsid w:val="6EA975AB"/>
    <w:rsid w:val="6F382A41"/>
    <w:rsid w:val="6FAB11BD"/>
    <w:rsid w:val="6FB81823"/>
    <w:rsid w:val="6FD01269"/>
    <w:rsid w:val="6FE1412D"/>
    <w:rsid w:val="6FE2030A"/>
    <w:rsid w:val="6FEEB9B3"/>
    <w:rsid w:val="6FF3B4D4"/>
    <w:rsid w:val="703A6FBE"/>
    <w:rsid w:val="707A560C"/>
    <w:rsid w:val="70A94143"/>
    <w:rsid w:val="712C2F77"/>
    <w:rsid w:val="71DC0B0E"/>
    <w:rsid w:val="723D57F3"/>
    <w:rsid w:val="723D5E69"/>
    <w:rsid w:val="727F39E9"/>
    <w:rsid w:val="733F8BCE"/>
    <w:rsid w:val="737A5923"/>
    <w:rsid w:val="73CF344E"/>
    <w:rsid w:val="73F456D6"/>
    <w:rsid w:val="73FFE37A"/>
    <w:rsid w:val="74291A4A"/>
    <w:rsid w:val="74E3645A"/>
    <w:rsid w:val="757765BE"/>
    <w:rsid w:val="757C1E26"/>
    <w:rsid w:val="75A21FF9"/>
    <w:rsid w:val="75ED5D32"/>
    <w:rsid w:val="761B7DAD"/>
    <w:rsid w:val="76312549"/>
    <w:rsid w:val="764379F3"/>
    <w:rsid w:val="764FC2D0"/>
    <w:rsid w:val="769B54C8"/>
    <w:rsid w:val="76A35191"/>
    <w:rsid w:val="76C84BF7"/>
    <w:rsid w:val="76DE173B"/>
    <w:rsid w:val="772067E2"/>
    <w:rsid w:val="7758241F"/>
    <w:rsid w:val="77AF6499"/>
    <w:rsid w:val="77BB0620"/>
    <w:rsid w:val="77BBF271"/>
    <w:rsid w:val="77BE6726"/>
    <w:rsid w:val="77C27899"/>
    <w:rsid w:val="77D70DAD"/>
    <w:rsid w:val="7833737D"/>
    <w:rsid w:val="787F5CDD"/>
    <w:rsid w:val="78B61960"/>
    <w:rsid w:val="78E268EA"/>
    <w:rsid w:val="79B723A7"/>
    <w:rsid w:val="79CD4D87"/>
    <w:rsid w:val="79DF905D"/>
    <w:rsid w:val="79EF3FAC"/>
    <w:rsid w:val="79F49770"/>
    <w:rsid w:val="79F53F55"/>
    <w:rsid w:val="79FF6B82"/>
    <w:rsid w:val="7A0B5527"/>
    <w:rsid w:val="7A8D6248"/>
    <w:rsid w:val="7AA17C39"/>
    <w:rsid w:val="7AFF6D94"/>
    <w:rsid w:val="7B572D8D"/>
    <w:rsid w:val="7B5B28C7"/>
    <w:rsid w:val="7B75534E"/>
    <w:rsid w:val="7B7F671F"/>
    <w:rsid w:val="7B8424F0"/>
    <w:rsid w:val="7BBE009C"/>
    <w:rsid w:val="7BBEFAB9"/>
    <w:rsid w:val="7BC40409"/>
    <w:rsid w:val="7BFFBC13"/>
    <w:rsid w:val="7C9A5409"/>
    <w:rsid w:val="7CDB036D"/>
    <w:rsid w:val="7D6FBF16"/>
    <w:rsid w:val="7D7E3FDE"/>
    <w:rsid w:val="7DA40C8C"/>
    <w:rsid w:val="7DBFB476"/>
    <w:rsid w:val="7DC817A8"/>
    <w:rsid w:val="7DEF7B06"/>
    <w:rsid w:val="7E3B3B79"/>
    <w:rsid w:val="7E7D2E3D"/>
    <w:rsid w:val="7E953F59"/>
    <w:rsid w:val="7EB342EC"/>
    <w:rsid w:val="7EBD7ED2"/>
    <w:rsid w:val="7EBFACFD"/>
    <w:rsid w:val="7ECA59B1"/>
    <w:rsid w:val="7EEBA858"/>
    <w:rsid w:val="7EEEC814"/>
    <w:rsid w:val="7EFD1F6E"/>
    <w:rsid w:val="7F3F7A5A"/>
    <w:rsid w:val="7F581404"/>
    <w:rsid w:val="7F6E2EFD"/>
    <w:rsid w:val="7F9A6B74"/>
    <w:rsid w:val="7FB96613"/>
    <w:rsid w:val="7FED63EF"/>
    <w:rsid w:val="7FFCC487"/>
    <w:rsid w:val="87FB8AF9"/>
    <w:rsid w:val="9FFF8A3E"/>
    <w:rsid w:val="A5C7BAA4"/>
    <w:rsid w:val="B33FB105"/>
    <w:rsid w:val="B9D9584F"/>
    <w:rsid w:val="BE7B8A43"/>
    <w:rsid w:val="BF7FCEB6"/>
    <w:rsid w:val="BFEDA0CE"/>
    <w:rsid w:val="BFFB7F12"/>
    <w:rsid w:val="CB7D6125"/>
    <w:rsid w:val="CBBF4C69"/>
    <w:rsid w:val="CBFD345F"/>
    <w:rsid w:val="CFBFB8EF"/>
    <w:rsid w:val="D1795E6C"/>
    <w:rsid w:val="D3DB7C02"/>
    <w:rsid w:val="D7F720FA"/>
    <w:rsid w:val="DBE35CB0"/>
    <w:rsid w:val="DBFB39D0"/>
    <w:rsid w:val="DCABCB8C"/>
    <w:rsid w:val="DCD3FD59"/>
    <w:rsid w:val="DCFFF1D9"/>
    <w:rsid w:val="DDCD14CA"/>
    <w:rsid w:val="DE7F9A87"/>
    <w:rsid w:val="DF7E3684"/>
    <w:rsid w:val="DFF5925E"/>
    <w:rsid w:val="DFFDB781"/>
    <w:rsid w:val="E71EE116"/>
    <w:rsid w:val="E7F70C39"/>
    <w:rsid w:val="EAEF9DF3"/>
    <w:rsid w:val="EB6C8873"/>
    <w:rsid w:val="EBFF946B"/>
    <w:rsid w:val="ECDE65CA"/>
    <w:rsid w:val="ECDF8ED7"/>
    <w:rsid w:val="EEF3D9BA"/>
    <w:rsid w:val="EFC69CAC"/>
    <w:rsid w:val="EFDC3FBC"/>
    <w:rsid w:val="EFF38745"/>
    <w:rsid w:val="EFF7935B"/>
    <w:rsid w:val="EFFB3D1E"/>
    <w:rsid w:val="EFFDCE7E"/>
    <w:rsid w:val="F0DBA25D"/>
    <w:rsid w:val="F3FE1F6A"/>
    <w:rsid w:val="F5AB9A7A"/>
    <w:rsid w:val="F6FEE127"/>
    <w:rsid w:val="F736EB41"/>
    <w:rsid w:val="F77DFE2F"/>
    <w:rsid w:val="F7FFC58C"/>
    <w:rsid w:val="FAF2D042"/>
    <w:rsid w:val="FB56286F"/>
    <w:rsid w:val="FBDB649A"/>
    <w:rsid w:val="FBE55884"/>
    <w:rsid w:val="FBEEA797"/>
    <w:rsid w:val="FBEFB647"/>
    <w:rsid w:val="FBFB5717"/>
    <w:rsid w:val="FC5FB5EC"/>
    <w:rsid w:val="FD7B30A3"/>
    <w:rsid w:val="FD9F5184"/>
    <w:rsid w:val="FDC76533"/>
    <w:rsid w:val="FDE7F2BA"/>
    <w:rsid w:val="FDEF7AB7"/>
    <w:rsid w:val="FDFA4E35"/>
    <w:rsid w:val="FDFD15B2"/>
    <w:rsid w:val="FE65433B"/>
    <w:rsid w:val="FE694562"/>
    <w:rsid w:val="FEB97A0B"/>
    <w:rsid w:val="FEF346CC"/>
    <w:rsid w:val="FF1F8121"/>
    <w:rsid w:val="FF1FC3E8"/>
    <w:rsid w:val="FF4F0BF6"/>
    <w:rsid w:val="FF8D1CED"/>
    <w:rsid w:val="FF9D35A6"/>
    <w:rsid w:val="FFAF21F7"/>
    <w:rsid w:val="FFBD1ADF"/>
    <w:rsid w:val="FFD9092D"/>
    <w:rsid w:val="FFDF5149"/>
    <w:rsid w:val="FFF969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Calibri" w:eastAsia="宋体"/>
      <w:sz w:val="21"/>
      <w:szCs w:val="22"/>
    </w:rPr>
  </w:style>
  <w:style w:type="paragraph" w:customStyle="1" w:styleId="3">
    <w:name w:val="BodyTextIndent"/>
    <w:basedOn w:val="1"/>
    <w:qFormat/>
    <w:uiPriority w:val="0"/>
    <w:pPr>
      <w:ind w:firstLine="540"/>
      <w:textAlignment w:val="baseline"/>
    </w:pPr>
    <w:rPr>
      <w:rFonts w:ascii="仿宋_GB2312" w:hAnsi="Calibri" w:eastAsia="仿宋_GB2312"/>
      <w:sz w:val="30"/>
      <w:szCs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paragraph" w:customStyle="1" w:styleId="14">
    <w:name w:val="列出段落1"/>
    <w:basedOn w:val="1"/>
    <w:qFormat/>
    <w:uiPriority w:val="0"/>
    <w:pPr>
      <w:ind w:firstLine="420" w:firstLineChars="200"/>
    </w:pPr>
  </w:style>
  <w:style w:type="character" w:customStyle="1" w:styleId="15">
    <w:name w:val="font11"/>
    <w:basedOn w:val="11"/>
    <w:qFormat/>
    <w:uiPriority w:val="0"/>
    <w:rPr>
      <w:rFonts w:ascii="font-weight : 400" w:hAnsi="font-weight : 400" w:eastAsia="font-weight : 400" w:cs="font-weight : 400"/>
      <w:color w:val="000000"/>
      <w:sz w:val="24"/>
      <w:szCs w:val="24"/>
      <w:u w:val="none"/>
    </w:rPr>
  </w:style>
  <w:style w:type="character" w:customStyle="1" w:styleId="16">
    <w:name w:val="font01"/>
    <w:basedOn w:val="11"/>
    <w:qFormat/>
    <w:uiPriority w:val="0"/>
    <w:rPr>
      <w:rFonts w:hint="default" w:ascii="font-weight : 400" w:hAnsi="font-weight : 400" w:eastAsia="font-weight : 400" w:cs="font-weight : 400"/>
      <w:color w:val="000000"/>
      <w:sz w:val="24"/>
      <w:szCs w:val="24"/>
      <w:u w:val="single"/>
    </w:rPr>
  </w:style>
  <w:style w:type="character" w:customStyle="1" w:styleId="17">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5528</Words>
  <Characters>6007</Characters>
  <Lines>0</Lines>
  <Paragraphs>0</Paragraphs>
  <TotalTime>47</TotalTime>
  <ScaleCrop>false</ScaleCrop>
  <LinksUpToDate>false</LinksUpToDate>
  <CharactersWithSpaces>6027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2021-05-13T11:04:00Z</dcterms:created>
  <dc:creator>Administrator</dc:creator>
  <cp:lastModifiedBy>陈志婷</cp:lastModifiedBy>
  <cp:lastPrinted>2024-08-25T17:11:00Z</cp:lastPrinted>
  <dcterms:modified xsi:type="dcterms:W3CDTF">2024-12-03T03:53:13Z</dcterms:modified>
  <dc:title>三亚市旅游文化体育大型活动资金管理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CD735C9D0F4849E9850BFFEF131B14A5_13</vt:lpwstr>
  </property>
</Properties>
</file>