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9F172">
      <w:pPr>
        <w:pStyle w:val="6"/>
        <w:keepNext w:val="0"/>
        <w:keepLines w:val="0"/>
        <w:pageBreakBefore w:val="0"/>
        <w:widowControl w:val="0"/>
        <w:kinsoku/>
        <w:wordWrap/>
        <w:overflowPunct/>
        <w:topLinePunct w:val="0"/>
        <w:autoSpaceDE/>
        <w:autoSpaceDN/>
        <w:bidi w:val="0"/>
        <w:adjustRightInd/>
        <w:snapToGrid/>
        <w:spacing w:line="578" w:lineRule="exact"/>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5393369">
      <w:pPr>
        <w:rPr>
          <w:rFonts w:hint="eastAsia"/>
          <w:lang w:val="en-US" w:eastAsia="zh-CN"/>
        </w:rPr>
      </w:pPr>
    </w:p>
    <w:p w14:paraId="41E018F7">
      <w:pPr>
        <w:pStyle w:val="6"/>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rPr>
          <w:rFonts w:hint="eastAsia" w:ascii="Times New Roman" w:hAnsi="Times New Roman" w:eastAsia="微软简标宋" w:cs="Times New Roman"/>
          <w:color w:val="auto"/>
          <w:sz w:val="44"/>
          <w:szCs w:val="44"/>
          <w:lang w:eastAsia="zh-CN"/>
        </w:rPr>
      </w:pPr>
      <w:r>
        <w:rPr>
          <w:rFonts w:hint="eastAsia" w:eastAsia="微软简标宋" w:cs="Times New Roman"/>
          <w:color w:val="auto"/>
          <w:sz w:val="44"/>
          <w:szCs w:val="44"/>
          <w:lang w:val="en-US" w:eastAsia="zh-CN"/>
        </w:rPr>
        <w:t>关于</w:t>
      </w:r>
      <w:r>
        <w:rPr>
          <w:rFonts w:hint="eastAsia" w:ascii="Times New Roman" w:hAnsi="Times New Roman" w:eastAsia="微软简标宋" w:cs="Times New Roman"/>
          <w:color w:val="auto"/>
          <w:sz w:val="44"/>
          <w:szCs w:val="44"/>
          <w:lang w:eastAsia="zh-CN"/>
        </w:rPr>
        <w:t>《三亚市涉海涉空旅游管理办法》</w:t>
      </w:r>
    </w:p>
    <w:p w14:paraId="650F9F44">
      <w:pPr>
        <w:pStyle w:val="6"/>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rPr>
          <w:rFonts w:hint="eastAsia" w:ascii="Times New Roman" w:hAnsi="Times New Roman" w:eastAsia="微软简标宋" w:cs="Times New Roman"/>
          <w:color w:val="auto"/>
          <w:sz w:val="44"/>
          <w:szCs w:val="44"/>
          <w:lang w:eastAsia="zh-CN"/>
        </w:rPr>
      </w:pPr>
      <w:r>
        <w:rPr>
          <w:rFonts w:hint="eastAsia" w:ascii="Times New Roman" w:hAnsi="Times New Roman" w:eastAsia="微软简标宋" w:cs="Times New Roman"/>
          <w:color w:val="auto"/>
          <w:sz w:val="44"/>
          <w:szCs w:val="44"/>
          <w:lang w:eastAsia="zh-CN"/>
        </w:rPr>
        <w:t>起草说明</w:t>
      </w:r>
    </w:p>
    <w:p w14:paraId="1EBDC4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市旅文局</w:t>
      </w:r>
    </w:p>
    <w:p w14:paraId="2C968E71">
      <w:pPr>
        <w:rPr>
          <w:rFonts w:hint="eastAsia"/>
          <w:lang w:eastAsia="zh-CN"/>
        </w:rPr>
      </w:pPr>
    </w:p>
    <w:p w14:paraId="7F94367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p>
    <w:p w14:paraId="7B12201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i w:val="0"/>
          <w:iCs w:val="0"/>
          <w:caps w:val="0"/>
          <w:color w:val="auto"/>
          <w:spacing w:val="0"/>
          <w:sz w:val="32"/>
          <w:szCs w:val="32"/>
          <w:lang w:val="en-US" w:eastAsia="zh-CN"/>
        </w:rPr>
      </w:pPr>
      <w:r>
        <w:rPr>
          <w:rFonts w:hint="eastAsia" w:ascii="黑体" w:hAnsi="黑体" w:eastAsia="黑体" w:cs="黑体"/>
          <w:color w:val="auto"/>
          <w:sz w:val="32"/>
          <w:szCs w:val="32"/>
          <w:lang w:val="en-US" w:eastAsia="zh-CN"/>
        </w:rPr>
        <w:t>一、起草的背景、依据及目的</w:t>
      </w:r>
    </w:p>
    <w:p w14:paraId="0C36D9F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随着三亚市旅游业的快速发展，涉海涉空旅游项目逐渐成为吸引游客的重要亮点。为推动三亚市低空旅游和水上旅游的规范化、安全化发展，我市先后出台了《三亚市促进低空旅游发展暂行办法》和《三亚市水上旅游管理办法》。然而，随着《海南省涉海涉空体育运动项目管理办法（试行）》的颁布实施，以及市政府主要领导对相关政策衔接工作的重要批示，亟需整合现有政策，制定统一的《三亚市涉海涉空旅游管理办法》。</w:t>
      </w:r>
    </w:p>
    <w:p w14:paraId="0BA3D5B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本办法的起草依据包括《中华人民共和国旅游法》《中华人民共和国安全生产法》《中华人民共和国民用航空法》以及《海南省涉海涉空体育运动项目管理办法（试行）》等相关法律法规和政策文件。起草目的是为规范三亚市涉海涉空旅游市场秩序，保障游客安全和合法权益，促进旅游业可持续发展，同时与三亚市的旅游发展规划相衔接，为涉海涉空旅游产业的长期发展提供制度保障。</w:t>
      </w:r>
    </w:p>
    <w:p w14:paraId="7155B35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二、主要内容</w:t>
      </w:r>
    </w:p>
    <w:p w14:paraId="1D90684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本办法共十章，涵盖了总则、产业规划、管理职责、经营许可与登记、安全管理、服务质量与规范、环境保护、监督检查、法律责任及附则等内容。</w:t>
      </w:r>
    </w:p>
    <w:p w14:paraId="32E3C6C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一章“总则”概述了《三亚市涉海涉空旅游管理办法》的立法目的、法律依据、适用范围、基本原则、管理目标，以及明确了本办法适用于三亚市行政区域内涉海涉空旅游活动的经营、管理、服务及监督。同时明确了涉海涉空旅游包括但不限于海上游乐项目（如潜水、帆船、游艇等）和空中游乐项目（如直升机观光、滑翔伞等）。</w:t>
      </w:r>
    </w:p>
    <w:p w14:paraId="1A2301A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二章“产业规划”阐述了三亚市涉海涉空旅游产业的发展规划，包括政府领导、专项规划编制、资金支持、人才培养和资源整合等方面的内容。强化产业规划与发展：将涉海涉空旅游发展纳入国民经济和社会发展规划，推动产业融合发展，并设立专项资金支持基础设施建设、公共服务体系建设和人才培养等。</w:t>
      </w:r>
    </w:p>
    <w:p w14:paraId="2FE8281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三章“管理职责”明确了各级政府、旅游主管部门、相关部门以及行业协会在涉海涉空旅游管理中的职责分工和协调机制。细化管理职责：明确了各级政府及相关部门在涉海涉空旅游管理中的职责分工，建立了协调机制，确保管理责任落实到位。</w:t>
      </w:r>
    </w:p>
    <w:p w14:paraId="33DCC76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四章“经营许可与登记”规定了涉海涉空旅游经营者的经营条件、许可程序、信息登记和监管要求，确保市场准入和经营行为的规范性。规范经营许可与登记：规定了从事涉海涉空旅游经营的条件、申请程序及信息登记与监管制度，确保旅游市场的有序发展。</w:t>
      </w:r>
    </w:p>
    <w:p w14:paraId="73718F0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五章“安全管理”强调了涉海涉空旅游活动的安全管理，包括安全生产管理制度、设施设备安全、人员培训与应急准备等，以保障游客安全。加强安全管理：建立了安全生产管理制度，明确了设施设备的安全标准、从业人员的资格要求及应急救援体系等，确保游客生命财产安全。</w:t>
      </w:r>
    </w:p>
    <w:p w14:paraId="4D3B2BA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六章“服务质量与规范”提出了涉海涉空旅游服务的质量标准、价格透明度、旅游合同等要求，以提升旅游服务质量和游客满意度。提升服务质量与规范：制定了服务质量标准，规范了价格行为，要求签订规范旅游合同，并建立了投诉处理机制，提升游客满意度。</w:t>
      </w:r>
    </w:p>
    <w:p w14:paraId="5E6B6E6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七章“环境保护”规定了涉海涉空旅游活动应遵守的环保法规、污染物处理、生态修复等要求，促进旅游业与生态环境的和谐共生。注重环境保护：规定了涉海涉空旅游项目应遵守的环保要求，加强污染物排放和垃圾处理管理，促进生态修复工作。</w:t>
      </w:r>
    </w:p>
    <w:p w14:paraId="589ABEE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第八章“监督检查”明确了旅游文化体育、公安、市场监管等部门在涉海涉空旅游管理中的监督检查职责和处罚措施。</w:t>
      </w:r>
    </w:p>
    <w:p w14:paraId="4F91202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第九章“法律责任”规定了违反《办法》规定的法律责任，包括行政处罚、民事赔偿和刑事责任等。严格监督检查与法律责任：明确了监督检查的内容、方式及违法违规行为的处罚措施，确保政策有效执行。</w:t>
      </w:r>
    </w:p>
    <w:p w14:paraId="136B657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第十章“附则”对《办法》</w:t>
      </w:r>
      <w:r>
        <w:rPr>
          <w:rFonts w:hint="eastAsia" w:eastAsia="仿宋_GB2312" w:cs="Times New Roman"/>
          <w:i w:val="0"/>
          <w:iCs w:val="0"/>
          <w:caps w:val="0"/>
          <w:color w:val="auto"/>
          <w:spacing w:val="0"/>
          <w:sz w:val="32"/>
          <w:szCs w:val="32"/>
          <w:lang w:val="en-US" w:eastAsia="zh-CN"/>
        </w:rPr>
        <w:t>明确</w:t>
      </w:r>
      <w:r>
        <w:rPr>
          <w:rFonts w:hint="eastAsia" w:ascii="Times New Roman" w:hAnsi="Times New Roman" w:eastAsia="仿宋_GB2312" w:cs="Times New Roman"/>
          <w:i w:val="0"/>
          <w:iCs w:val="0"/>
          <w:caps w:val="0"/>
          <w:color w:val="auto"/>
          <w:spacing w:val="0"/>
          <w:sz w:val="32"/>
          <w:szCs w:val="32"/>
          <w:lang w:val="en-US" w:eastAsia="zh-CN"/>
        </w:rPr>
        <w:t>主管单位，并规定了《办法》的施行日期和其他未尽事宜的处理方式。</w:t>
      </w:r>
    </w:p>
    <w:p w14:paraId="7667F04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三、起草过程与征求意见情况</w:t>
      </w:r>
    </w:p>
    <w:p w14:paraId="03369E5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本办法在起草过程中，充分借鉴了国内外涉海涉空旅游管理的先进经验和做法，结合三亚市实际情况进行了多次修订和完善。起草小组广泛征求了相关部门、行业协会、旅游企业及游客代表的意见和建议，对管理办法进行了多次修改和调整。同时，还组织了专家评审会进行评审论证，确保了管理办法的科学性和可行性。</w:t>
      </w:r>
    </w:p>
    <w:p w14:paraId="5CFB89B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四、提请重点关注和讨论的事项</w:t>
      </w:r>
    </w:p>
    <w:p w14:paraId="35BB88D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eastAsia="仿宋_GB2312" w:cs="Times New Roman"/>
          <w:i w:val="0"/>
          <w:iCs w:val="0"/>
          <w:caps w:val="0"/>
          <w:color w:val="auto"/>
          <w:spacing w:val="0"/>
          <w:sz w:val="32"/>
          <w:szCs w:val="32"/>
          <w:lang w:val="en-US" w:eastAsia="zh-CN"/>
        </w:rPr>
        <w:t>（一）</w:t>
      </w:r>
      <w:r>
        <w:rPr>
          <w:rFonts w:hint="eastAsia" w:ascii="Times New Roman" w:hAnsi="Times New Roman" w:eastAsia="仿宋_GB2312" w:cs="Times New Roman"/>
          <w:i w:val="0"/>
          <w:iCs w:val="0"/>
          <w:caps w:val="0"/>
          <w:color w:val="auto"/>
          <w:spacing w:val="0"/>
          <w:sz w:val="32"/>
          <w:szCs w:val="32"/>
          <w:lang w:val="en-US" w:eastAsia="zh-CN"/>
        </w:rPr>
        <w:t>政策整合与衔接</w:t>
      </w:r>
      <w:r>
        <w:rPr>
          <w:rFonts w:hint="eastAsia" w:eastAsia="仿宋_GB2312" w:cs="Times New Roman"/>
          <w:i w:val="0"/>
          <w:iCs w:val="0"/>
          <w:caps w:val="0"/>
          <w:color w:val="auto"/>
          <w:spacing w:val="0"/>
          <w:sz w:val="32"/>
          <w:szCs w:val="32"/>
          <w:lang w:val="en-US" w:eastAsia="zh-CN"/>
        </w:rPr>
        <w:t>。</w:t>
      </w:r>
      <w:r>
        <w:rPr>
          <w:rFonts w:hint="eastAsia" w:ascii="Times New Roman" w:hAnsi="Times New Roman" w:eastAsia="仿宋_GB2312" w:cs="Times New Roman"/>
          <w:i w:val="0"/>
          <w:iCs w:val="0"/>
          <w:caps w:val="0"/>
          <w:color w:val="auto"/>
          <w:spacing w:val="0"/>
          <w:sz w:val="32"/>
          <w:szCs w:val="32"/>
          <w:lang w:val="en-US" w:eastAsia="zh-CN"/>
        </w:rPr>
        <w:t>本办法在起草过程中充分考虑了与《海南省涉海涉空体育运动项目管理办法（试行）》等上级政策的衔接问题，确保政策的一致性和协调性。</w:t>
      </w:r>
    </w:p>
    <w:p w14:paraId="2F9FF0A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eastAsia="仿宋_GB2312" w:cs="Times New Roman"/>
          <w:i w:val="0"/>
          <w:iCs w:val="0"/>
          <w:caps w:val="0"/>
          <w:color w:val="auto"/>
          <w:spacing w:val="0"/>
          <w:sz w:val="32"/>
          <w:szCs w:val="32"/>
          <w:lang w:val="en-US" w:eastAsia="zh-CN"/>
        </w:rPr>
        <w:t>（二）</w:t>
      </w:r>
      <w:r>
        <w:rPr>
          <w:rFonts w:hint="eastAsia" w:ascii="Times New Roman" w:hAnsi="Times New Roman" w:eastAsia="仿宋_GB2312" w:cs="Times New Roman"/>
          <w:i w:val="0"/>
          <w:iCs w:val="0"/>
          <w:caps w:val="0"/>
          <w:color w:val="auto"/>
          <w:spacing w:val="0"/>
          <w:sz w:val="32"/>
          <w:szCs w:val="32"/>
          <w:lang w:val="en-US" w:eastAsia="zh-CN"/>
        </w:rPr>
        <w:t>安全管理强化</w:t>
      </w:r>
      <w:r>
        <w:rPr>
          <w:rFonts w:hint="eastAsia" w:eastAsia="仿宋_GB2312" w:cs="Times New Roman"/>
          <w:i w:val="0"/>
          <w:iCs w:val="0"/>
          <w:caps w:val="0"/>
          <w:color w:val="auto"/>
          <w:spacing w:val="0"/>
          <w:sz w:val="32"/>
          <w:szCs w:val="32"/>
          <w:lang w:val="en-US" w:eastAsia="zh-CN"/>
        </w:rPr>
        <w:t>。</w:t>
      </w:r>
      <w:r>
        <w:rPr>
          <w:rFonts w:hint="eastAsia" w:ascii="Times New Roman" w:hAnsi="Times New Roman" w:eastAsia="仿宋_GB2312" w:cs="Times New Roman"/>
          <w:i w:val="0"/>
          <w:iCs w:val="0"/>
          <w:caps w:val="0"/>
          <w:color w:val="auto"/>
          <w:spacing w:val="0"/>
          <w:sz w:val="32"/>
          <w:szCs w:val="32"/>
          <w:lang w:val="en-US" w:eastAsia="zh-CN"/>
        </w:rPr>
        <w:t>鉴于涉海涉空旅游项目的特殊性，本办法在安全管理方面做出了详细规定，提请相关部门重点关注并加强监管。</w:t>
      </w:r>
    </w:p>
    <w:p w14:paraId="3A88A96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eastAsia="仿宋_GB2312" w:cs="Times New Roman"/>
          <w:i w:val="0"/>
          <w:iCs w:val="0"/>
          <w:caps w:val="0"/>
          <w:color w:val="auto"/>
          <w:spacing w:val="0"/>
          <w:sz w:val="32"/>
          <w:szCs w:val="32"/>
          <w:lang w:val="en-US" w:eastAsia="zh-CN"/>
        </w:rPr>
        <w:t>（三）</w:t>
      </w:r>
      <w:r>
        <w:rPr>
          <w:rFonts w:hint="eastAsia" w:ascii="Times New Roman" w:hAnsi="Times New Roman" w:eastAsia="仿宋_GB2312" w:cs="Times New Roman"/>
          <w:i w:val="0"/>
          <w:iCs w:val="0"/>
          <w:caps w:val="0"/>
          <w:color w:val="auto"/>
          <w:spacing w:val="0"/>
          <w:sz w:val="32"/>
          <w:szCs w:val="32"/>
          <w:lang w:val="en-US" w:eastAsia="zh-CN"/>
        </w:rPr>
        <w:t>服务质量提升</w:t>
      </w:r>
      <w:r>
        <w:rPr>
          <w:rFonts w:hint="eastAsia" w:eastAsia="仿宋_GB2312" w:cs="Times New Roman"/>
          <w:i w:val="0"/>
          <w:iCs w:val="0"/>
          <w:caps w:val="0"/>
          <w:color w:val="auto"/>
          <w:spacing w:val="0"/>
          <w:sz w:val="32"/>
          <w:szCs w:val="32"/>
          <w:lang w:val="en-US" w:eastAsia="zh-CN"/>
        </w:rPr>
        <w:t>。</w:t>
      </w:r>
      <w:r>
        <w:rPr>
          <w:rFonts w:hint="eastAsia" w:ascii="Times New Roman" w:hAnsi="Times New Roman" w:eastAsia="仿宋_GB2312" w:cs="Times New Roman"/>
          <w:i w:val="0"/>
          <w:iCs w:val="0"/>
          <w:caps w:val="0"/>
          <w:color w:val="auto"/>
          <w:spacing w:val="0"/>
          <w:sz w:val="32"/>
          <w:szCs w:val="32"/>
          <w:lang w:val="en-US" w:eastAsia="zh-CN"/>
        </w:rPr>
        <w:t>为提高游客满意度和促进旅游业健康发展，本办法对服务质量提出了更高要求，包括制定服务质量标准、规范价格行为等。</w:t>
      </w:r>
    </w:p>
    <w:p w14:paraId="0A965D1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eastAsia="仿宋_GB2312" w:cs="Times New Roman"/>
          <w:i w:val="0"/>
          <w:iCs w:val="0"/>
          <w:caps w:val="0"/>
          <w:color w:val="auto"/>
          <w:spacing w:val="0"/>
          <w:sz w:val="32"/>
          <w:szCs w:val="32"/>
          <w:lang w:val="en-US" w:eastAsia="zh-CN"/>
        </w:rPr>
        <w:t>（四）</w:t>
      </w:r>
      <w:r>
        <w:rPr>
          <w:rFonts w:hint="eastAsia" w:ascii="Times New Roman" w:hAnsi="Times New Roman" w:eastAsia="仿宋_GB2312" w:cs="Times New Roman"/>
          <w:i w:val="0"/>
          <w:iCs w:val="0"/>
          <w:caps w:val="0"/>
          <w:color w:val="auto"/>
          <w:spacing w:val="0"/>
          <w:sz w:val="32"/>
          <w:szCs w:val="32"/>
          <w:lang w:val="en-US" w:eastAsia="zh-CN"/>
        </w:rPr>
        <w:t>环境保护责任</w:t>
      </w:r>
      <w:r>
        <w:rPr>
          <w:rFonts w:hint="eastAsia" w:eastAsia="仿宋_GB2312" w:cs="Times New Roman"/>
          <w:i w:val="0"/>
          <w:iCs w:val="0"/>
          <w:caps w:val="0"/>
          <w:color w:val="auto"/>
          <w:spacing w:val="0"/>
          <w:sz w:val="32"/>
          <w:szCs w:val="32"/>
          <w:lang w:val="en-US" w:eastAsia="zh-CN"/>
        </w:rPr>
        <w:t>。</w:t>
      </w:r>
      <w:r>
        <w:rPr>
          <w:rFonts w:hint="eastAsia" w:ascii="Times New Roman" w:hAnsi="Times New Roman" w:eastAsia="仿宋_GB2312" w:cs="Times New Roman"/>
          <w:i w:val="0"/>
          <w:iCs w:val="0"/>
          <w:caps w:val="0"/>
          <w:color w:val="auto"/>
          <w:spacing w:val="0"/>
          <w:sz w:val="32"/>
          <w:szCs w:val="32"/>
          <w:lang w:val="en-US" w:eastAsia="zh-CN"/>
        </w:rPr>
        <w:t>鉴于涉海涉空旅游活动对生态环境的影响较大，本办法明确了旅游经营主体的环保责任和相关部门的监管责任。</w:t>
      </w:r>
    </w:p>
    <w:p w14:paraId="785D29A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五、潜在风险及应对措施</w:t>
      </w:r>
    </w:p>
    <w:p w14:paraId="71D290C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本办法的实施可能面临一些潜在风险，如旅游经营主体对新政策的不适应、监管部门执行力度不足等。为应对这些风险，将采取以下措施：一是</w:t>
      </w:r>
      <w:r>
        <w:rPr>
          <w:rFonts w:hint="eastAsia" w:eastAsia="仿宋_GB2312" w:cs="Times New Roman"/>
          <w:i w:val="0"/>
          <w:iCs w:val="0"/>
          <w:caps w:val="0"/>
          <w:color w:val="auto"/>
          <w:spacing w:val="0"/>
          <w:sz w:val="32"/>
          <w:szCs w:val="32"/>
          <w:lang w:val="en-US" w:eastAsia="zh-CN"/>
        </w:rPr>
        <w:t>加大</w:t>
      </w:r>
      <w:r>
        <w:rPr>
          <w:rFonts w:hint="eastAsia" w:ascii="Times New Roman" w:hAnsi="Times New Roman" w:eastAsia="仿宋_GB2312" w:cs="Times New Roman"/>
          <w:i w:val="0"/>
          <w:iCs w:val="0"/>
          <w:caps w:val="0"/>
          <w:color w:val="auto"/>
          <w:spacing w:val="0"/>
          <w:sz w:val="32"/>
          <w:szCs w:val="32"/>
          <w:lang w:val="en-US" w:eastAsia="zh-CN"/>
        </w:rPr>
        <w:t>政策宣传和培训力度，提高旅游经营主体对新政策的认识和理解；二是</w:t>
      </w:r>
      <w:r>
        <w:rPr>
          <w:rFonts w:hint="eastAsia" w:eastAsia="仿宋_GB2312" w:cs="Times New Roman"/>
          <w:i w:val="0"/>
          <w:iCs w:val="0"/>
          <w:caps w:val="0"/>
          <w:color w:val="auto"/>
          <w:spacing w:val="0"/>
          <w:sz w:val="32"/>
          <w:szCs w:val="32"/>
          <w:lang w:val="en-US" w:eastAsia="zh-CN"/>
        </w:rPr>
        <w:t>加大</w:t>
      </w:r>
      <w:r>
        <w:rPr>
          <w:rFonts w:hint="eastAsia" w:ascii="Times New Roman" w:hAnsi="Times New Roman" w:eastAsia="仿宋_GB2312" w:cs="Times New Roman"/>
          <w:i w:val="0"/>
          <w:iCs w:val="0"/>
          <w:caps w:val="0"/>
          <w:color w:val="auto"/>
          <w:spacing w:val="0"/>
          <w:sz w:val="32"/>
          <w:szCs w:val="32"/>
          <w:lang w:val="en-US" w:eastAsia="zh-CN"/>
        </w:rPr>
        <w:t>监管部门的执法力度和监督检查频次；三是建立健全投诉处理机制及时解决游客反映的问题。</w:t>
      </w:r>
    </w:p>
    <w:p w14:paraId="127CBF4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六、下步文件流转程序及文件印发形式</w:t>
      </w:r>
    </w:p>
    <w:p w14:paraId="36F20C7E">
      <w:pPr>
        <w:pStyle w:val="6"/>
        <w:keepNext w:val="0"/>
        <w:keepLines w:val="0"/>
        <w:pageBreakBefore w:val="0"/>
        <w:kinsoku/>
        <w:wordWrap/>
        <w:overflowPunct/>
        <w:topLinePunct w:val="0"/>
        <w:bidi w:val="0"/>
        <w:snapToGrid/>
        <w:spacing w:line="578" w:lineRule="exact"/>
        <w:ind w:firstLine="640" w:firstLineChars="200"/>
        <w:rPr>
          <w:rFonts w:ascii="Times New Roman" w:hAnsi="Times New Roman" w:cs="Times New Roman"/>
        </w:rPr>
      </w:pPr>
      <w:r>
        <w:rPr>
          <w:rFonts w:hint="eastAsia" w:ascii="Times New Roman" w:hAnsi="Times New Roman" w:eastAsia="仿宋_GB2312" w:cs="Times New Roman"/>
          <w:color w:val="auto"/>
          <w:sz w:val="32"/>
          <w:szCs w:val="32"/>
          <w:lang w:eastAsia="zh-CN"/>
        </w:rPr>
        <w:t>《三亚市涉海涉空旅游管理办法》作为</w:t>
      </w:r>
      <w:r>
        <w:rPr>
          <w:rFonts w:hint="eastAsia" w:eastAsia="仿宋_GB2312" w:cs="Times New Roman"/>
          <w:color w:val="auto"/>
          <w:sz w:val="32"/>
          <w:szCs w:val="32"/>
          <w:lang w:val="en-US" w:eastAsia="zh-CN"/>
        </w:rPr>
        <w:t>政府规章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00000"/>
          <w:kern w:val="0"/>
          <w:sz w:val="31"/>
          <w:szCs w:val="31"/>
          <w:lang w:val="en-US" w:eastAsia="zh-CN"/>
        </w:rPr>
        <w:t>根据</w:t>
      </w:r>
      <w:r>
        <w:rPr>
          <w:rFonts w:hint="default" w:ascii="Times New Roman" w:hAnsi="Times New Roman" w:eastAsia="仿宋_GB2312" w:cs="Times New Roman"/>
          <w:color w:val="000000"/>
          <w:kern w:val="0"/>
          <w:sz w:val="32"/>
          <w:szCs w:val="32"/>
          <w:shd w:val="clear" w:color="auto" w:fill="FFFFFF"/>
          <w:lang w:eastAsia="zh-CN"/>
        </w:rPr>
        <w:t>《三亚市规章与行政规范性文件管理办法》相关流程</w:t>
      </w:r>
      <w:r>
        <w:rPr>
          <w:rFonts w:hint="default"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2"/>
          <w:szCs w:val="32"/>
          <w:shd w:val="clear" w:color="auto" w:fill="FFFFFF"/>
          <w:lang w:val="en-US" w:eastAsia="zh-CN"/>
        </w:rPr>
        <w:t>结合征求意见情况修订完善后按程序推动征求社会公众意见3</w:t>
      </w:r>
      <w:r>
        <w:rPr>
          <w:rFonts w:hint="default" w:ascii="Times New Roman" w:hAnsi="Times New Roman" w:eastAsia="仿宋_GB2312" w:cs="Times New Roman"/>
          <w:color w:val="000000"/>
          <w:kern w:val="0"/>
          <w:sz w:val="32"/>
          <w:szCs w:val="32"/>
          <w:shd w:val="clear" w:color="auto" w:fill="FFFFFF"/>
          <w:lang w:eastAsia="zh-CN"/>
        </w:rPr>
        <w:t>0天</w:t>
      </w:r>
      <w:r>
        <w:rPr>
          <w:rFonts w:hint="default" w:ascii="Times New Roman" w:hAnsi="Times New Roman" w:eastAsia="仿宋_GB2312" w:cs="Times New Roman"/>
          <w:color w:val="000000"/>
          <w:kern w:val="0"/>
          <w:sz w:val="32"/>
          <w:szCs w:val="32"/>
          <w:shd w:val="clear" w:color="auto" w:fill="FFFFFF"/>
          <w:lang w:val="en-US" w:eastAsia="zh-CN"/>
        </w:rPr>
        <w:t>、公平竞争审查、制度廉洁性审查、三重一大事项局</w:t>
      </w:r>
      <w:r>
        <w:rPr>
          <w:rFonts w:hint="eastAsia" w:cs="Times New Roman"/>
          <w:color w:val="000000"/>
          <w:kern w:val="0"/>
          <w:sz w:val="32"/>
          <w:szCs w:val="32"/>
          <w:shd w:val="clear" w:color="auto" w:fill="FFFFFF"/>
          <w:lang w:val="en-US" w:eastAsia="zh-CN"/>
        </w:rPr>
        <w:t>长会</w:t>
      </w:r>
      <w:r>
        <w:rPr>
          <w:rFonts w:hint="default" w:ascii="Times New Roman" w:hAnsi="Times New Roman" w:eastAsia="仿宋_GB2312" w:cs="Times New Roman"/>
          <w:color w:val="000000"/>
          <w:kern w:val="0"/>
          <w:sz w:val="32"/>
          <w:szCs w:val="32"/>
          <w:shd w:val="clear" w:color="auto" w:fill="FFFFFF"/>
          <w:lang w:val="en-US" w:eastAsia="zh-CN"/>
        </w:rPr>
        <w:t>审议、呈报</w:t>
      </w:r>
      <w:r>
        <w:rPr>
          <w:rFonts w:hint="default" w:ascii="Times New Roman" w:hAnsi="Times New Roman" w:eastAsia="仿宋_GB2312" w:cs="Times New Roman"/>
          <w:color w:val="000000"/>
          <w:kern w:val="0"/>
          <w:sz w:val="32"/>
          <w:szCs w:val="32"/>
          <w:shd w:val="clear" w:color="auto" w:fill="FFFFFF"/>
          <w:lang w:eastAsia="zh-CN"/>
        </w:rPr>
        <w:t>市</w:t>
      </w:r>
      <w:r>
        <w:rPr>
          <w:rFonts w:hint="default" w:ascii="Times New Roman" w:hAnsi="Times New Roman" w:eastAsia="仿宋_GB2312" w:cs="Times New Roman"/>
          <w:color w:val="000000"/>
          <w:kern w:val="0"/>
          <w:sz w:val="32"/>
          <w:szCs w:val="32"/>
          <w:shd w:val="clear" w:color="auto" w:fill="FFFFFF"/>
          <w:lang w:val="en-US" w:eastAsia="zh-CN"/>
        </w:rPr>
        <w:t>司法局</w:t>
      </w:r>
      <w:bookmarkStart w:id="0" w:name="_GoBack"/>
      <w:r>
        <w:rPr>
          <w:rFonts w:hint="default" w:ascii="Times New Roman" w:hAnsi="Times New Roman" w:eastAsia="仿宋_GB2312" w:cs="Times New Roman"/>
          <w:color w:val="000000"/>
          <w:kern w:val="0"/>
          <w:sz w:val="32"/>
          <w:szCs w:val="32"/>
          <w:shd w:val="clear" w:color="auto" w:fill="FFFFFF"/>
          <w:lang w:val="en-US" w:eastAsia="zh-CN"/>
        </w:rPr>
        <w:t>法核</w:t>
      </w:r>
      <w:bookmarkEnd w:id="0"/>
      <w:r>
        <w:rPr>
          <w:rFonts w:hint="default" w:ascii="Times New Roman" w:hAnsi="Times New Roman" w:eastAsia="仿宋_GB2312" w:cs="Times New Roman"/>
          <w:color w:val="000000"/>
          <w:kern w:val="0"/>
          <w:sz w:val="32"/>
          <w:szCs w:val="32"/>
          <w:shd w:val="clear" w:color="auto" w:fill="FFFFFF"/>
          <w:lang w:val="en-US" w:eastAsia="zh-CN"/>
        </w:rPr>
        <w:t>、提请市政府专题会议、市政府常务会议审议，</w:t>
      </w:r>
      <w:r>
        <w:rPr>
          <w:rFonts w:hint="default" w:ascii="Times New Roman" w:hAnsi="Times New Roman" w:eastAsia="仿宋_GB2312" w:cs="Times New Roman"/>
          <w:color w:val="000000"/>
          <w:kern w:val="0"/>
          <w:sz w:val="31"/>
          <w:szCs w:val="31"/>
          <w:lang w:val="en-US" w:eastAsia="zh-CN"/>
        </w:rPr>
        <w:t>以</w:t>
      </w:r>
      <w:r>
        <w:rPr>
          <w:rFonts w:hint="eastAsia" w:cs="Times New Roman"/>
          <w:color w:val="000000"/>
          <w:kern w:val="0"/>
          <w:sz w:val="31"/>
          <w:szCs w:val="31"/>
          <w:lang w:val="en-US" w:eastAsia="zh-CN"/>
        </w:rPr>
        <w:t>市政府令</w:t>
      </w:r>
      <w:r>
        <w:rPr>
          <w:rFonts w:hint="default" w:ascii="Times New Roman" w:hAnsi="Times New Roman" w:eastAsia="仿宋_GB2312" w:cs="Times New Roman"/>
          <w:color w:val="000000"/>
          <w:kern w:val="0"/>
          <w:sz w:val="31"/>
          <w:szCs w:val="31"/>
          <w:lang w:val="en-US" w:eastAsia="zh-CN"/>
        </w:rPr>
        <w:t>名义印发施行。</w:t>
      </w:r>
    </w:p>
    <w:p w14:paraId="3E56559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eastAsia" w:ascii="Times New Roman" w:hAnsi="Times New Roman" w:eastAsia="仿宋_GB2312" w:cs="Times New Roman"/>
          <w:i w:val="0"/>
          <w:iCs w:val="0"/>
          <w:caps w:val="0"/>
          <w:color w:val="auto"/>
          <w:spacing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C2821DC"/>
    <w:rsid w:val="006B133E"/>
    <w:rsid w:val="02624406"/>
    <w:rsid w:val="05E042B0"/>
    <w:rsid w:val="06916273"/>
    <w:rsid w:val="0F336D93"/>
    <w:rsid w:val="1171712A"/>
    <w:rsid w:val="13CC14E0"/>
    <w:rsid w:val="1BD746AC"/>
    <w:rsid w:val="27707C62"/>
    <w:rsid w:val="2E9B3506"/>
    <w:rsid w:val="300466C5"/>
    <w:rsid w:val="3A2C08FF"/>
    <w:rsid w:val="3A412AF3"/>
    <w:rsid w:val="3C46241D"/>
    <w:rsid w:val="3FBF4E9D"/>
    <w:rsid w:val="3FF57D7F"/>
    <w:rsid w:val="434D13F6"/>
    <w:rsid w:val="452D2C28"/>
    <w:rsid w:val="4C2821DC"/>
    <w:rsid w:val="4D7C38E7"/>
    <w:rsid w:val="5D342241"/>
    <w:rsid w:val="64A50DAF"/>
    <w:rsid w:val="6C041C46"/>
    <w:rsid w:val="6D6706F9"/>
    <w:rsid w:val="7A6A4943"/>
    <w:rsid w:val="7DF436EC"/>
    <w:rsid w:val="7E327526"/>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left"/>
    </w:pPr>
    <w:rPr>
      <w:rFonts w:ascii="Times New Roman" w:hAnsi="Times New Roman" w:eastAsia="宋体" w:cstheme="minorBidi"/>
      <w:kern w:val="2"/>
      <w:sz w:val="24"/>
      <w:lang w:val="en-US" w:eastAsia="zh-CN" w:bidi="ar-SA"/>
    </w:rPr>
  </w:style>
  <w:style w:type="paragraph" w:styleId="2">
    <w:name w:val="heading 1"/>
    <w:basedOn w:val="1"/>
    <w:next w:val="1"/>
    <w:link w:val="13"/>
    <w:qFormat/>
    <w:uiPriority w:val="0"/>
    <w:pPr>
      <w:spacing w:before="100" w:beforeLines="100" w:after="50" w:afterLines="50"/>
      <w:ind w:left="0"/>
      <w:jc w:val="left"/>
      <w:outlineLvl w:val="0"/>
    </w:pPr>
    <w:rPr>
      <w:rFonts w:ascii="Times New Roman" w:hAnsi="Times New Roman" w:eastAsiaTheme="majorEastAsia"/>
      <w:b/>
      <w:bCs/>
      <w:sz w:val="30"/>
      <w:szCs w:val="32"/>
      <w:lang w:eastAsia="en-US" w:bidi="en-US"/>
    </w:rPr>
  </w:style>
  <w:style w:type="paragraph" w:styleId="3">
    <w:name w:val="heading 2"/>
    <w:basedOn w:val="1"/>
    <w:next w:val="1"/>
    <w:semiHidden/>
    <w:unhideWhenUsed/>
    <w:qFormat/>
    <w:uiPriority w:val="0"/>
    <w:pPr>
      <w:ind w:left="0" w:right="0"/>
      <w:jc w:val="left"/>
      <w:outlineLvl w:val="1"/>
    </w:pPr>
    <w:rPr>
      <w:rFonts w:ascii="黑体" w:hAnsi="黑体" w:eastAsia="黑体" w:cs="黑体"/>
      <w:sz w:val="28"/>
      <w:szCs w:val="32"/>
      <w:lang w:eastAsia="en-US" w:bidi="en-US"/>
    </w:rPr>
  </w:style>
  <w:style w:type="paragraph" w:styleId="4">
    <w:name w:val="heading 3"/>
    <w:basedOn w:val="1"/>
    <w:next w:val="1"/>
    <w:semiHidden/>
    <w:unhideWhenUsed/>
    <w:qFormat/>
    <w:uiPriority w:val="0"/>
    <w:pPr>
      <w:ind w:left="0" w:hanging="493"/>
      <w:outlineLvl w:val="2"/>
    </w:pPr>
    <w:rPr>
      <w:rFonts w:ascii="黑体" w:hAnsi="黑体" w:eastAsia="黑体" w:cs="黑体"/>
      <w:szCs w:val="30"/>
      <w:lang w:eastAsia="en-US" w:bidi="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Salutation"/>
    <w:basedOn w:val="1"/>
    <w:next w:val="1"/>
    <w:qFormat/>
    <w:uiPriority w:val="99"/>
    <w:pPr>
      <w:textAlignment w:val="baseline"/>
    </w:pPr>
    <w:rPr>
      <w:rFonts w:ascii="Times New Roman" w:hAnsi="Times New Roman" w:eastAsia="仿宋_GB2312"/>
      <w:sz w:val="3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footnote text"/>
    <w:basedOn w:val="1"/>
    <w:qFormat/>
    <w:uiPriority w:val="0"/>
    <w:pPr>
      <w:snapToGrid w:val="0"/>
      <w:spacing w:line="240" w:lineRule="auto"/>
      <w:jc w:val="left"/>
    </w:pPr>
    <w:rPr>
      <w:sz w:val="18"/>
    </w:rPr>
  </w:style>
  <w:style w:type="paragraph" w:customStyle="1" w:styleId="11">
    <w:name w:val="BodyText1I2"/>
    <w:basedOn w:val="12"/>
    <w:qFormat/>
    <w:uiPriority w:val="0"/>
    <w:pPr>
      <w:spacing w:after="120"/>
      <w:ind w:left="420" w:leftChars="200" w:firstLine="420" w:firstLineChars="200"/>
    </w:pPr>
    <w:rPr>
      <w:rFonts w:ascii="Calibri" w:eastAsia="宋体"/>
      <w:sz w:val="21"/>
      <w:szCs w:val="22"/>
    </w:rPr>
  </w:style>
  <w:style w:type="paragraph" w:customStyle="1" w:styleId="12">
    <w:name w:val="BodyTextIndent"/>
    <w:basedOn w:val="1"/>
    <w:qFormat/>
    <w:uiPriority w:val="0"/>
    <w:pPr>
      <w:ind w:firstLine="540"/>
      <w:textAlignment w:val="baseline"/>
    </w:pPr>
    <w:rPr>
      <w:rFonts w:ascii="仿宋_GB2312" w:hAnsi="Calibri" w:eastAsia="仿宋_GB2312"/>
      <w:sz w:val="30"/>
      <w:szCs w:val="24"/>
    </w:rPr>
  </w:style>
  <w:style w:type="character" w:customStyle="1" w:styleId="13">
    <w:name w:val="标题 1 Char"/>
    <w:link w:val="2"/>
    <w:qFormat/>
    <w:uiPriority w:val="1"/>
    <w:rPr>
      <w:rFonts w:ascii="Times New Roman" w:hAnsi="Times New Roman" w:eastAsiaTheme="majorEastAsia"/>
      <w:b/>
      <w:bCs/>
      <w:sz w:val="30"/>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2254</Words>
  <Characters>2255</Characters>
  <Lines>0</Lines>
  <Paragraphs>0</Paragraphs>
  <TotalTime>0</TotalTime>
  <ScaleCrop>false</ScaleCrop>
  <LinksUpToDate>false</LinksUpToDate>
  <CharactersWithSpaces>2255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2024-11-16T14:35:00Z</dcterms:created>
  <dc:creator>Y</dc:creator>
  <cp:lastModifiedBy>Y。</cp:lastModifiedBy>
  <dcterms:modified xsi:type="dcterms:W3CDTF">2024-11-19T03:25:28Z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0C51787CA68E4AFA8DF31E42E3380847_13</vt:lpwstr>
  </property>
</Properties>
</file>