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三亚市旅游文化体育</w:t>
      </w:r>
      <w:r>
        <w:rPr>
          <w:rFonts w:hint="eastAsia" w:eastAsia="方正小标宋简体" w:cs="Times New Roman"/>
          <w:color w:val="auto"/>
          <w:sz w:val="44"/>
          <w:szCs w:val="44"/>
          <w:highlight w:val="none"/>
          <w:lang w:val="en-US" w:eastAsia="zh-CN"/>
        </w:rPr>
        <w:t>大型活动资金</w:t>
      </w:r>
      <w:r>
        <w:rPr>
          <w:rFonts w:hint="default" w:ascii="Times New Roman" w:hAnsi="Times New Roman" w:eastAsia="方正小标宋简体" w:cs="Times New Roman"/>
          <w:color w:val="auto"/>
          <w:sz w:val="44"/>
          <w:szCs w:val="44"/>
          <w:highlight w:val="none"/>
          <w:lang w:val="en-US" w:eastAsia="zh-CN"/>
        </w:rPr>
        <w:t>管理办法</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第一条 </w:t>
      </w:r>
      <w:r>
        <w:rPr>
          <w:rFonts w:hint="default" w:ascii="Times New Roman" w:hAnsi="Times New Roman" w:eastAsia="仿宋_GB2312" w:cs="Times New Roman"/>
          <w:color w:val="auto"/>
          <w:sz w:val="32"/>
          <w:szCs w:val="32"/>
          <w:highlight w:val="none"/>
          <w:lang w:val="en-US" w:eastAsia="zh-CN"/>
        </w:rPr>
        <w:t>为了充分发挥旅游文化体育</w:t>
      </w:r>
      <w:r>
        <w:rPr>
          <w:rFonts w:hint="eastAsia" w:eastAsia="仿宋_GB2312" w:cs="Times New Roman"/>
          <w:color w:val="auto"/>
          <w:sz w:val="32"/>
          <w:szCs w:val="32"/>
          <w:highlight w:val="none"/>
          <w:lang w:val="en-US" w:eastAsia="zh-CN"/>
        </w:rPr>
        <w:t>大型</w:t>
      </w:r>
      <w:r>
        <w:rPr>
          <w:rFonts w:hint="default" w:ascii="Times New Roman" w:hAnsi="Times New Roman" w:eastAsia="仿宋_GB2312" w:cs="Times New Roman"/>
          <w:color w:val="auto"/>
          <w:sz w:val="32"/>
          <w:szCs w:val="32"/>
          <w:highlight w:val="none"/>
          <w:lang w:val="en-US" w:eastAsia="zh-CN"/>
        </w:rPr>
        <w:t>活动（以下简称“</w:t>
      </w:r>
      <w:r>
        <w:rPr>
          <w:rFonts w:hint="eastAsia" w:eastAsia="仿宋_GB2312" w:cs="Times New Roman"/>
          <w:color w:val="auto"/>
          <w:sz w:val="32"/>
          <w:szCs w:val="32"/>
          <w:highlight w:val="none"/>
          <w:lang w:val="en-US" w:eastAsia="zh-CN"/>
        </w:rPr>
        <w:t>大型</w:t>
      </w:r>
      <w:r>
        <w:rPr>
          <w:rFonts w:hint="default" w:ascii="Times New Roman" w:hAnsi="Times New Roman" w:eastAsia="仿宋_GB2312" w:cs="Times New Roman"/>
          <w:color w:val="auto"/>
          <w:sz w:val="32"/>
          <w:szCs w:val="32"/>
          <w:highlight w:val="none"/>
          <w:lang w:val="en-US" w:eastAsia="zh-CN"/>
        </w:rPr>
        <w:t>活动”）对我市经济社会发展的促进作用，扶持和培育可形成产业规模和具有发展潜力的</w:t>
      </w:r>
      <w:r>
        <w:rPr>
          <w:rFonts w:hint="eastAsia" w:eastAsia="仿宋_GB2312" w:cs="Times New Roman"/>
          <w:color w:val="auto"/>
          <w:sz w:val="32"/>
          <w:szCs w:val="32"/>
          <w:highlight w:val="none"/>
          <w:lang w:val="en-US" w:eastAsia="zh-CN"/>
        </w:rPr>
        <w:t>大型</w:t>
      </w:r>
      <w:r>
        <w:rPr>
          <w:rFonts w:hint="default" w:ascii="Times New Roman" w:hAnsi="Times New Roman" w:eastAsia="仿宋_GB2312" w:cs="Times New Roman"/>
          <w:color w:val="auto"/>
          <w:sz w:val="32"/>
          <w:szCs w:val="32"/>
          <w:highlight w:val="none"/>
          <w:lang w:val="en-US" w:eastAsia="zh-CN"/>
        </w:rPr>
        <w:t>活动</w:t>
      </w:r>
      <w:r>
        <w:rPr>
          <w:rFonts w:hint="eastAsia" w:eastAsia="仿宋_GB2312" w:cs="Times New Roman"/>
          <w:color w:val="auto"/>
          <w:sz w:val="32"/>
          <w:szCs w:val="32"/>
          <w:highlight w:val="none"/>
          <w:lang w:val="en-US" w:eastAsia="zh-CN"/>
        </w:rPr>
        <w:t>品牌</w:t>
      </w:r>
      <w:r>
        <w:rPr>
          <w:rFonts w:hint="default" w:ascii="Times New Roman" w:hAnsi="Times New Roman" w:eastAsia="仿宋_GB2312" w:cs="Times New Roman"/>
          <w:color w:val="auto"/>
          <w:sz w:val="32"/>
          <w:szCs w:val="32"/>
          <w:highlight w:val="none"/>
          <w:lang w:val="en-US" w:eastAsia="zh-CN"/>
        </w:rPr>
        <w:t>，拉动三亚文旅消费，提高</w:t>
      </w:r>
      <w:r>
        <w:rPr>
          <w:rFonts w:hint="eastAsia" w:eastAsia="仿宋_GB2312" w:cs="Times New Roman"/>
          <w:color w:val="auto"/>
          <w:sz w:val="32"/>
          <w:szCs w:val="32"/>
          <w:highlight w:val="none"/>
          <w:lang w:val="en-US" w:eastAsia="zh-CN"/>
        </w:rPr>
        <w:t>大型活动资金</w:t>
      </w:r>
      <w:r>
        <w:rPr>
          <w:rFonts w:hint="default" w:ascii="Times New Roman" w:hAnsi="Times New Roman" w:eastAsia="仿宋_GB2312" w:cs="Times New Roman"/>
          <w:color w:val="auto"/>
          <w:sz w:val="32"/>
          <w:szCs w:val="32"/>
          <w:highlight w:val="none"/>
          <w:lang w:val="en-US" w:eastAsia="zh-CN"/>
        </w:rPr>
        <w:t>使用效益，结合三亚实际，制定本办法。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第二条 </w:t>
      </w:r>
      <w:r>
        <w:rPr>
          <w:rStyle w:val="11"/>
          <w:rFonts w:hint="eastAsia" w:eastAsia="仿宋_GB2312" w:cs="Times New Roman"/>
          <w:b w:val="0"/>
          <w:bCs w:val="0"/>
          <w:color w:val="auto"/>
          <w:kern w:val="0"/>
          <w:sz w:val="32"/>
          <w:szCs w:val="32"/>
          <w:highlight w:val="none"/>
          <w:lang w:val="en-US" w:eastAsia="zh-CN" w:bidi="ar"/>
        </w:rPr>
        <w:t>本办法所称的旅游文化体育大型活动资金（以下简称“大型活动资金”）是</w:t>
      </w:r>
      <w:r>
        <w:rPr>
          <w:rStyle w:val="11"/>
          <w:rFonts w:hint="default" w:eastAsia="仿宋_GB2312" w:cs="Times New Roman"/>
          <w:b w:val="0"/>
          <w:bCs w:val="0"/>
          <w:color w:val="auto"/>
          <w:kern w:val="0"/>
          <w:sz w:val="32"/>
          <w:szCs w:val="32"/>
          <w:highlight w:val="none"/>
          <w:lang w:val="en-US" w:eastAsia="zh-CN" w:bidi="ar"/>
        </w:rPr>
        <w:t>指</w:t>
      </w:r>
      <w:r>
        <w:rPr>
          <w:rStyle w:val="11"/>
          <w:rFonts w:hint="eastAsia" w:eastAsia="仿宋_GB2312" w:cs="Times New Roman"/>
          <w:b w:val="0"/>
          <w:bCs w:val="0"/>
          <w:color w:val="auto"/>
          <w:kern w:val="0"/>
          <w:sz w:val="32"/>
          <w:szCs w:val="32"/>
          <w:highlight w:val="none"/>
          <w:lang w:val="en-US" w:eastAsia="zh-CN" w:bidi="ar"/>
        </w:rPr>
        <w:t>用于保障《三亚市旅游文化体育大型活动管理和服务办法》第二条适用范围的大型活动以及经市政府认定具有重大影响力活动的市级专项财政资金。</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right="0" w:rightChars="0" w:firstLine="0" w:firstLineChars="0"/>
        <w:textAlignment w:val="auto"/>
        <w:outlineLvl w:val="9"/>
        <w:rPr>
          <w:rStyle w:val="11"/>
          <w:rFonts w:hint="default" w:ascii="Times New Roman" w:hAnsi="Times New Roman" w:eastAsia="仿宋_GB2312" w:cs="Times New Roman"/>
          <w:b w:val="0"/>
          <w:bCs w:val="0"/>
          <w:color w:val="auto"/>
          <w:kern w:val="0"/>
          <w:sz w:val="32"/>
          <w:szCs w:val="32"/>
          <w:highlight w:val="none"/>
          <w:lang w:bidi="ar"/>
        </w:rPr>
      </w:pP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第</w:t>
      </w:r>
      <w:r>
        <w:rPr>
          <w:rFonts w:hint="eastAsia"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val="en-US" w:eastAsia="zh-CN"/>
        </w:rPr>
        <w:t>条</w:t>
      </w:r>
      <w:r>
        <w:rPr>
          <w:rFonts w:hint="eastAsia" w:eastAsia="仿宋_GB2312" w:cs="Times New Roman"/>
          <w:b/>
          <w:bCs/>
          <w:color w:val="auto"/>
          <w:sz w:val="32"/>
          <w:szCs w:val="32"/>
          <w:highlight w:val="none"/>
          <w:lang w:val="en-US" w:eastAsia="zh-CN"/>
        </w:rPr>
        <w:t xml:space="preserve"> </w:t>
      </w:r>
      <w:r>
        <w:rPr>
          <w:rStyle w:val="11"/>
          <w:rFonts w:hint="eastAsia" w:eastAsia="仿宋_GB2312" w:cs="Times New Roman"/>
          <w:b w:val="0"/>
          <w:bCs w:val="0"/>
          <w:color w:val="auto"/>
          <w:kern w:val="0"/>
          <w:sz w:val="32"/>
          <w:szCs w:val="32"/>
          <w:highlight w:val="none"/>
          <w:lang w:eastAsia="zh-CN" w:bidi="ar"/>
        </w:rPr>
        <w:t>市旅游文化体育主管部门</w:t>
      </w:r>
      <w:r>
        <w:rPr>
          <w:rStyle w:val="11"/>
          <w:rFonts w:hint="default" w:ascii="Times New Roman" w:hAnsi="Times New Roman" w:eastAsia="仿宋_GB2312" w:cs="Times New Roman"/>
          <w:b w:val="0"/>
          <w:bCs w:val="0"/>
          <w:color w:val="auto"/>
          <w:kern w:val="0"/>
          <w:sz w:val="32"/>
          <w:szCs w:val="32"/>
          <w:highlight w:val="none"/>
          <w:lang w:bidi="ar"/>
        </w:rPr>
        <w:t>负责对全市</w:t>
      </w:r>
      <w:r>
        <w:rPr>
          <w:rStyle w:val="11"/>
          <w:rFonts w:hint="default" w:eastAsia="仿宋_GB2312" w:cs="Times New Roman"/>
          <w:b w:val="0"/>
          <w:bCs w:val="0"/>
          <w:color w:val="auto"/>
          <w:kern w:val="0"/>
          <w:sz w:val="32"/>
          <w:szCs w:val="32"/>
          <w:highlight w:val="none"/>
          <w:lang w:val="en-US" w:eastAsia="zh-CN" w:bidi="ar"/>
        </w:rPr>
        <w:t>大型</w:t>
      </w:r>
      <w:r>
        <w:rPr>
          <w:rStyle w:val="11"/>
          <w:rFonts w:hint="default" w:ascii="Times New Roman" w:hAnsi="Times New Roman" w:eastAsia="仿宋_GB2312" w:cs="Times New Roman"/>
          <w:b w:val="0"/>
          <w:bCs w:val="0"/>
          <w:color w:val="auto"/>
          <w:kern w:val="0"/>
          <w:sz w:val="32"/>
          <w:szCs w:val="32"/>
          <w:highlight w:val="none"/>
          <w:lang w:bidi="ar"/>
        </w:rPr>
        <w:t>活动进行宏观指导及行业管理，征集</w:t>
      </w:r>
      <w:r>
        <w:rPr>
          <w:rStyle w:val="11"/>
          <w:rFonts w:hint="default" w:ascii="Times New Roman" w:hAnsi="Times New Roman" w:eastAsia="仿宋_GB2312" w:cs="Times New Roman"/>
          <w:b w:val="0"/>
          <w:bCs w:val="0"/>
          <w:color w:val="auto"/>
          <w:kern w:val="0"/>
          <w:sz w:val="32"/>
          <w:szCs w:val="32"/>
          <w:highlight w:val="none"/>
          <w:lang w:val="en-US" w:eastAsia="zh-CN" w:bidi="ar"/>
        </w:rPr>
        <w:t>活动</w:t>
      </w:r>
      <w:r>
        <w:rPr>
          <w:rStyle w:val="11"/>
          <w:rFonts w:hint="default" w:ascii="Times New Roman" w:hAnsi="Times New Roman" w:eastAsia="仿宋_GB2312" w:cs="Times New Roman"/>
          <w:b w:val="0"/>
          <w:bCs w:val="0"/>
          <w:color w:val="auto"/>
          <w:kern w:val="0"/>
          <w:sz w:val="32"/>
          <w:szCs w:val="32"/>
          <w:highlight w:val="none"/>
          <w:lang w:bidi="ar"/>
        </w:rPr>
        <w:t>项目，牵头建立</w:t>
      </w:r>
      <w:r>
        <w:rPr>
          <w:rStyle w:val="11"/>
          <w:rFonts w:hint="default" w:eastAsia="仿宋_GB2312" w:cs="Times New Roman"/>
          <w:b w:val="0"/>
          <w:bCs w:val="0"/>
          <w:color w:val="auto"/>
          <w:kern w:val="0"/>
          <w:sz w:val="32"/>
          <w:szCs w:val="32"/>
          <w:highlight w:val="none"/>
          <w:lang w:eastAsia="zh-CN" w:bidi="ar"/>
        </w:rPr>
        <w:t>市级大型活动项目库</w:t>
      </w:r>
      <w:r>
        <w:rPr>
          <w:rStyle w:val="11"/>
          <w:rFonts w:hint="default" w:ascii="Times New Roman" w:hAnsi="Times New Roman" w:eastAsia="仿宋_GB2312" w:cs="Times New Roman"/>
          <w:b w:val="0"/>
          <w:bCs w:val="0"/>
          <w:color w:val="auto"/>
          <w:kern w:val="0"/>
          <w:sz w:val="32"/>
          <w:szCs w:val="32"/>
          <w:highlight w:val="none"/>
          <w:lang w:bidi="ar"/>
        </w:rPr>
        <w:t>，汇总</w:t>
      </w:r>
      <w:r>
        <w:rPr>
          <w:rStyle w:val="11"/>
          <w:rFonts w:hint="default" w:eastAsia="仿宋_GB2312" w:cs="Times New Roman"/>
          <w:b w:val="0"/>
          <w:bCs w:val="0"/>
          <w:color w:val="auto"/>
          <w:kern w:val="0"/>
          <w:sz w:val="32"/>
          <w:szCs w:val="32"/>
          <w:highlight w:val="none"/>
          <w:lang w:val="en-US" w:eastAsia="zh-CN" w:bidi="ar"/>
        </w:rPr>
        <w:t>和审查</w:t>
      </w:r>
      <w:r>
        <w:rPr>
          <w:rStyle w:val="11"/>
          <w:rFonts w:hint="default" w:ascii="Times New Roman" w:hAnsi="Times New Roman" w:eastAsia="仿宋_GB2312" w:cs="Times New Roman"/>
          <w:b w:val="0"/>
          <w:bCs w:val="0"/>
          <w:color w:val="auto"/>
          <w:kern w:val="0"/>
          <w:sz w:val="32"/>
          <w:szCs w:val="32"/>
          <w:highlight w:val="none"/>
          <w:lang w:val="en-US" w:eastAsia="zh-CN" w:bidi="ar"/>
        </w:rPr>
        <w:t>活动</w:t>
      </w:r>
      <w:r>
        <w:rPr>
          <w:rStyle w:val="11"/>
          <w:rFonts w:hint="default" w:ascii="Times New Roman" w:hAnsi="Times New Roman" w:eastAsia="仿宋_GB2312" w:cs="Times New Roman"/>
          <w:b w:val="0"/>
          <w:bCs w:val="0"/>
          <w:color w:val="auto"/>
          <w:kern w:val="0"/>
          <w:sz w:val="32"/>
          <w:szCs w:val="32"/>
          <w:highlight w:val="none"/>
          <w:lang w:bidi="ar"/>
        </w:rPr>
        <w:t>方案和</w:t>
      </w:r>
      <w:r>
        <w:rPr>
          <w:rStyle w:val="11"/>
          <w:rFonts w:hint="default" w:ascii="Times New Roman" w:hAnsi="Times New Roman" w:eastAsia="仿宋_GB2312" w:cs="Times New Roman"/>
          <w:b w:val="0"/>
          <w:bCs w:val="0"/>
          <w:color w:val="auto"/>
          <w:kern w:val="0"/>
          <w:sz w:val="32"/>
          <w:szCs w:val="32"/>
          <w:highlight w:val="none"/>
          <w:lang w:val="en-US" w:eastAsia="zh-CN" w:bidi="ar"/>
        </w:rPr>
        <w:t>活动</w:t>
      </w:r>
      <w:r>
        <w:rPr>
          <w:rStyle w:val="11"/>
          <w:rFonts w:hint="default" w:ascii="Times New Roman" w:hAnsi="Times New Roman" w:eastAsia="仿宋_GB2312" w:cs="Times New Roman"/>
          <w:b w:val="0"/>
          <w:bCs w:val="0"/>
          <w:color w:val="auto"/>
          <w:kern w:val="0"/>
          <w:sz w:val="32"/>
          <w:szCs w:val="32"/>
          <w:highlight w:val="none"/>
          <w:lang w:bidi="ar"/>
        </w:rPr>
        <w:t>预算，编报全市</w:t>
      </w:r>
      <w:r>
        <w:rPr>
          <w:rStyle w:val="11"/>
          <w:rFonts w:hint="default" w:eastAsia="仿宋_GB2312" w:cs="Times New Roman"/>
          <w:b w:val="0"/>
          <w:bCs w:val="0"/>
          <w:color w:val="auto"/>
          <w:kern w:val="0"/>
          <w:sz w:val="32"/>
          <w:szCs w:val="32"/>
          <w:highlight w:val="none"/>
          <w:lang w:val="en-US" w:eastAsia="zh-CN" w:bidi="ar"/>
        </w:rPr>
        <w:t>大型活动资金</w:t>
      </w:r>
      <w:r>
        <w:rPr>
          <w:rStyle w:val="11"/>
          <w:rFonts w:hint="default" w:ascii="Times New Roman" w:hAnsi="Times New Roman" w:eastAsia="仿宋_GB2312" w:cs="Times New Roman"/>
          <w:b w:val="0"/>
          <w:bCs w:val="0"/>
          <w:color w:val="auto"/>
          <w:kern w:val="0"/>
          <w:sz w:val="32"/>
          <w:szCs w:val="32"/>
          <w:highlight w:val="none"/>
          <w:lang w:bidi="ar"/>
        </w:rPr>
        <w:t>年度预算、拟定资金使用计划，会同</w:t>
      </w:r>
      <w:r>
        <w:rPr>
          <w:rStyle w:val="11"/>
          <w:rFonts w:hint="eastAsia" w:eastAsia="仿宋_GB2312" w:cs="Times New Roman"/>
          <w:b w:val="0"/>
          <w:bCs w:val="0"/>
          <w:color w:val="auto"/>
          <w:kern w:val="0"/>
          <w:sz w:val="32"/>
          <w:szCs w:val="32"/>
          <w:highlight w:val="none"/>
          <w:lang w:eastAsia="zh-CN" w:bidi="ar"/>
        </w:rPr>
        <w:t>市财政主管部门</w:t>
      </w:r>
      <w:r>
        <w:rPr>
          <w:rStyle w:val="11"/>
          <w:rFonts w:hint="default" w:ascii="Times New Roman" w:hAnsi="Times New Roman" w:eastAsia="仿宋_GB2312" w:cs="Times New Roman"/>
          <w:b w:val="0"/>
          <w:bCs w:val="0"/>
          <w:color w:val="auto"/>
          <w:kern w:val="0"/>
          <w:sz w:val="32"/>
          <w:szCs w:val="32"/>
          <w:highlight w:val="none"/>
          <w:lang w:bidi="ar"/>
        </w:rPr>
        <w:t>、</w:t>
      </w:r>
      <w:r>
        <w:rPr>
          <w:rStyle w:val="11"/>
          <w:rFonts w:hint="default" w:eastAsia="仿宋_GB2312" w:cs="Times New Roman"/>
          <w:b w:val="0"/>
          <w:bCs w:val="0"/>
          <w:color w:val="auto"/>
          <w:kern w:val="0"/>
          <w:sz w:val="32"/>
          <w:szCs w:val="32"/>
          <w:highlight w:val="none"/>
          <w:lang w:eastAsia="zh-CN" w:bidi="ar"/>
        </w:rPr>
        <w:t>行业主管部门</w:t>
      </w:r>
      <w:r>
        <w:rPr>
          <w:rStyle w:val="11"/>
          <w:rFonts w:hint="default" w:ascii="Times New Roman" w:hAnsi="Times New Roman" w:eastAsia="仿宋_GB2312" w:cs="Times New Roman"/>
          <w:b w:val="0"/>
          <w:bCs w:val="0"/>
          <w:color w:val="auto"/>
          <w:kern w:val="0"/>
          <w:sz w:val="32"/>
          <w:szCs w:val="32"/>
          <w:highlight w:val="none"/>
          <w:lang w:bidi="ar"/>
        </w:rPr>
        <w:t>对</w:t>
      </w:r>
      <w:r>
        <w:rPr>
          <w:rStyle w:val="11"/>
          <w:rFonts w:hint="default" w:eastAsia="仿宋_GB2312" w:cs="Times New Roman"/>
          <w:b w:val="0"/>
          <w:bCs w:val="0"/>
          <w:color w:val="auto"/>
          <w:kern w:val="0"/>
          <w:sz w:val="32"/>
          <w:szCs w:val="32"/>
          <w:highlight w:val="none"/>
          <w:lang w:eastAsia="zh-CN" w:bidi="ar"/>
        </w:rPr>
        <w:t>大型活动资金</w:t>
      </w:r>
      <w:r>
        <w:rPr>
          <w:rStyle w:val="11"/>
          <w:rFonts w:hint="default" w:ascii="Times New Roman" w:hAnsi="Times New Roman" w:eastAsia="仿宋_GB2312" w:cs="Times New Roman"/>
          <w:b w:val="0"/>
          <w:bCs w:val="0"/>
          <w:color w:val="auto"/>
          <w:kern w:val="0"/>
          <w:sz w:val="32"/>
          <w:szCs w:val="32"/>
          <w:highlight w:val="none"/>
          <w:lang w:bidi="ar"/>
        </w:rPr>
        <w:t>使用情况进行监督检查和绩效评价。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outlineLvl w:val="9"/>
        <w:rPr>
          <w:rStyle w:val="12"/>
          <w:rFonts w:hint="default" w:ascii="Times New Roman" w:hAnsi="Times New Roman" w:eastAsia="仿宋" w:cs="Times New Roman"/>
          <w:color w:val="auto"/>
          <w:sz w:val="32"/>
          <w:szCs w:val="32"/>
          <w:highlight w:val="none"/>
        </w:rPr>
      </w:pPr>
      <w:r>
        <w:rPr>
          <w:rStyle w:val="11"/>
          <w:rFonts w:hint="default" w:eastAsia="仿宋_GB2312" w:cs="Times New Roman"/>
          <w:b w:val="0"/>
          <w:bCs w:val="0"/>
          <w:color w:val="auto"/>
          <w:kern w:val="0"/>
          <w:sz w:val="32"/>
          <w:szCs w:val="32"/>
          <w:highlight w:val="none"/>
          <w:lang w:eastAsia="zh-CN" w:bidi="ar"/>
        </w:rPr>
        <w:t>行业主管部门根据市委市政府年度工作计划，</w:t>
      </w:r>
      <w:r>
        <w:rPr>
          <w:rStyle w:val="11"/>
          <w:rFonts w:hint="default" w:ascii="Times New Roman" w:hAnsi="Times New Roman" w:eastAsia="仿宋_GB2312" w:cs="Times New Roman"/>
          <w:b w:val="0"/>
          <w:bCs w:val="0"/>
          <w:color w:val="auto"/>
          <w:kern w:val="0"/>
          <w:sz w:val="32"/>
          <w:szCs w:val="32"/>
          <w:highlight w:val="none"/>
          <w:lang w:bidi="ar"/>
        </w:rPr>
        <w:t>提前谋划分管行业领域</w:t>
      </w:r>
      <w:r>
        <w:rPr>
          <w:rStyle w:val="11"/>
          <w:rFonts w:hint="default" w:eastAsia="仿宋_GB2312" w:cs="Times New Roman"/>
          <w:b w:val="0"/>
          <w:bCs w:val="0"/>
          <w:color w:val="auto"/>
          <w:kern w:val="0"/>
          <w:sz w:val="32"/>
          <w:szCs w:val="32"/>
          <w:highlight w:val="none"/>
          <w:lang w:val="en-US" w:eastAsia="zh-CN" w:bidi="ar"/>
        </w:rPr>
        <w:t>大型</w:t>
      </w:r>
      <w:r>
        <w:rPr>
          <w:rStyle w:val="11"/>
          <w:rFonts w:hint="default" w:ascii="Times New Roman" w:hAnsi="Times New Roman" w:eastAsia="仿宋_GB2312" w:cs="Times New Roman"/>
          <w:b w:val="0"/>
          <w:bCs w:val="0"/>
          <w:color w:val="auto"/>
          <w:kern w:val="0"/>
          <w:sz w:val="32"/>
          <w:szCs w:val="32"/>
          <w:highlight w:val="none"/>
          <w:lang w:bidi="ar"/>
        </w:rPr>
        <w:t>活动，按照年度预算编制的时间节点向</w:t>
      </w:r>
      <w:r>
        <w:rPr>
          <w:rStyle w:val="11"/>
          <w:rFonts w:hint="eastAsia" w:eastAsia="仿宋_GB2312" w:cs="Times New Roman"/>
          <w:b w:val="0"/>
          <w:bCs w:val="0"/>
          <w:color w:val="auto"/>
          <w:kern w:val="0"/>
          <w:sz w:val="32"/>
          <w:szCs w:val="32"/>
          <w:highlight w:val="none"/>
          <w:lang w:eastAsia="zh-CN" w:bidi="ar"/>
        </w:rPr>
        <w:t>市旅游文化体育主管部门</w:t>
      </w:r>
      <w:r>
        <w:rPr>
          <w:rStyle w:val="11"/>
          <w:rFonts w:hint="default" w:ascii="Times New Roman" w:hAnsi="Times New Roman" w:eastAsia="仿宋_GB2312" w:cs="Times New Roman"/>
          <w:b w:val="0"/>
          <w:bCs w:val="0"/>
          <w:color w:val="auto"/>
          <w:kern w:val="0"/>
          <w:sz w:val="32"/>
          <w:szCs w:val="32"/>
          <w:highlight w:val="none"/>
          <w:lang w:bidi="ar"/>
        </w:rPr>
        <w:t>提报下一年度本部门本行业举办</w:t>
      </w:r>
      <w:r>
        <w:rPr>
          <w:rStyle w:val="11"/>
          <w:rFonts w:hint="default" w:eastAsia="仿宋_GB2312" w:cs="Times New Roman"/>
          <w:b w:val="0"/>
          <w:bCs w:val="0"/>
          <w:color w:val="auto"/>
          <w:kern w:val="0"/>
          <w:sz w:val="32"/>
          <w:szCs w:val="32"/>
          <w:highlight w:val="none"/>
          <w:lang w:val="en-US" w:eastAsia="zh-CN" w:bidi="ar"/>
        </w:rPr>
        <w:t>大型</w:t>
      </w:r>
      <w:r>
        <w:rPr>
          <w:rStyle w:val="11"/>
          <w:rFonts w:hint="default" w:ascii="Times New Roman" w:hAnsi="Times New Roman" w:eastAsia="仿宋_GB2312" w:cs="Times New Roman"/>
          <w:b w:val="0"/>
          <w:bCs w:val="0"/>
          <w:color w:val="auto"/>
          <w:kern w:val="0"/>
          <w:sz w:val="32"/>
          <w:szCs w:val="32"/>
          <w:highlight w:val="none"/>
          <w:lang w:val="en-US" w:eastAsia="zh-CN" w:bidi="ar"/>
        </w:rPr>
        <w:t>活动</w:t>
      </w:r>
      <w:r>
        <w:rPr>
          <w:rStyle w:val="11"/>
          <w:rFonts w:hint="default" w:ascii="Times New Roman" w:hAnsi="Times New Roman" w:eastAsia="仿宋_GB2312" w:cs="Times New Roman"/>
          <w:b w:val="0"/>
          <w:bCs w:val="0"/>
          <w:color w:val="auto"/>
          <w:kern w:val="0"/>
          <w:sz w:val="32"/>
          <w:szCs w:val="32"/>
          <w:highlight w:val="none"/>
          <w:lang w:bidi="ar"/>
        </w:rPr>
        <w:t>的资金预算</w:t>
      </w:r>
      <w:r>
        <w:rPr>
          <w:rStyle w:val="11"/>
          <w:rFonts w:hint="default" w:ascii="Times New Roman" w:hAnsi="Times New Roman" w:eastAsia="仿宋_GB2312" w:cs="Times New Roman"/>
          <w:b w:val="0"/>
          <w:bCs w:val="0"/>
          <w:color w:val="auto"/>
          <w:kern w:val="0"/>
          <w:sz w:val="32"/>
          <w:szCs w:val="32"/>
          <w:highlight w:val="none"/>
          <w:lang w:eastAsia="zh-CN" w:bidi="ar"/>
        </w:rPr>
        <w:t>，</w:t>
      </w:r>
      <w:r>
        <w:rPr>
          <w:rStyle w:val="11"/>
          <w:rFonts w:hint="default" w:ascii="Times New Roman" w:hAnsi="Times New Roman" w:eastAsia="仿宋_GB2312" w:cs="Times New Roman"/>
          <w:b w:val="0"/>
          <w:bCs w:val="0"/>
          <w:color w:val="auto"/>
          <w:kern w:val="0"/>
          <w:sz w:val="32"/>
          <w:szCs w:val="32"/>
          <w:highlight w:val="none"/>
          <w:lang w:bidi="ar"/>
        </w:rPr>
        <w:t>设定资金使用的绩效目标，做好资金绩效执行跟踪监控与绩效自评工作</w:t>
      </w:r>
      <w:r>
        <w:rPr>
          <w:rStyle w:val="12"/>
          <w:rFonts w:hint="default" w:ascii="Times New Roman" w:hAnsi="Times New Roman" w:eastAsia="仿宋" w:cs="Times New Roman"/>
          <w:b w:val="0"/>
          <w:bCs/>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right="0" w:rightChars="0" w:firstLine="640" w:firstLineChars="200"/>
        <w:textAlignment w:val="auto"/>
        <w:outlineLvl w:val="9"/>
        <w:rPr>
          <w:rStyle w:val="12"/>
          <w:rFonts w:hint="default" w:ascii="Times New Roman" w:hAnsi="Times New Roman" w:eastAsia="仿宋" w:cs="Times New Roman"/>
          <w:b w:val="0"/>
          <w:bCs/>
          <w:color w:val="auto"/>
          <w:sz w:val="32"/>
          <w:szCs w:val="32"/>
          <w:highlight w:val="none"/>
        </w:rPr>
      </w:pPr>
      <w:r>
        <w:rPr>
          <w:rStyle w:val="11"/>
          <w:rFonts w:hint="eastAsia" w:eastAsia="仿宋_GB2312" w:cs="Times New Roman"/>
          <w:b w:val="0"/>
          <w:bCs w:val="0"/>
          <w:color w:val="auto"/>
          <w:kern w:val="0"/>
          <w:sz w:val="32"/>
          <w:szCs w:val="32"/>
          <w:highlight w:val="none"/>
          <w:lang w:eastAsia="zh-CN" w:bidi="ar"/>
        </w:rPr>
        <w:t>市财政主管部门</w:t>
      </w:r>
      <w:r>
        <w:rPr>
          <w:rStyle w:val="11"/>
          <w:rFonts w:hint="default" w:ascii="Times New Roman" w:hAnsi="Times New Roman" w:eastAsia="仿宋_GB2312" w:cs="Times New Roman"/>
          <w:b w:val="0"/>
          <w:bCs w:val="0"/>
          <w:color w:val="auto"/>
          <w:kern w:val="0"/>
          <w:sz w:val="32"/>
          <w:szCs w:val="32"/>
          <w:highlight w:val="none"/>
          <w:lang w:bidi="ar"/>
        </w:rPr>
        <w:t>负责资金的预算管理，会同</w:t>
      </w:r>
      <w:r>
        <w:rPr>
          <w:rStyle w:val="11"/>
          <w:rFonts w:hint="eastAsia" w:eastAsia="仿宋_GB2312" w:cs="Times New Roman"/>
          <w:b w:val="0"/>
          <w:bCs w:val="0"/>
          <w:color w:val="auto"/>
          <w:kern w:val="0"/>
          <w:sz w:val="32"/>
          <w:szCs w:val="32"/>
          <w:highlight w:val="none"/>
          <w:lang w:eastAsia="zh-CN" w:bidi="ar"/>
        </w:rPr>
        <w:t>市旅游文化体育主管部门</w:t>
      </w:r>
      <w:r>
        <w:rPr>
          <w:rStyle w:val="11"/>
          <w:rFonts w:hint="default" w:ascii="Times New Roman" w:hAnsi="Times New Roman" w:eastAsia="仿宋_GB2312" w:cs="Times New Roman"/>
          <w:b w:val="0"/>
          <w:bCs w:val="0"/>
          <w:color w:val="auto"/>
          <w:kern w:val="0"/>
          <w:sz w:val="32"/>
          <w:szCs w:val="32"/>
          <w:highlight w:val="none"/>
          <w:lang w:bidi="ar"/>
        </w:rPr>
        <w:t>、</w:t>
      </w:r>
      <w:r>
        <w:rPr>
          <w:rStyle w:val="11"/>
          <w:rFonts w:hint="default" w:eastAsia="仿宋_GB2312" w:cs="Times New Roman"/>
          <w:b w:val="0"/>
          <w:bCs w:val="0"/>
          <w:color w:val="auto"/>
          <w:kern w:val="0"/>
          <w:sz w:val="32"/>
          <w:szCs w:val="32"/>
          <w:highlight w:val="none"/>
          <w:lang w:eastAsia="zh-CN" w:bidi="ar"/>
        </w:rPr>
        <w:t>行业主管部门</w:t>
      </w:r>
      <w:r>
        <w:rPr>
          <w:rStyle w:val="11"/>
          <w:rFonts w:hint="default" w:ascii="Times New Roman" w:hAnsi="Times New Roman" w:eastAsia="仿宋_GB2312" w:cs="Times New Roman"/>
          <w:b w:val="0"/>
          <w:bCs w:val="0"/>
          <w:color w:val="auto"/>
          <w:kern w:val="0"/>
          <w:sz w:val="32"/>
          <w:szCs w:val="32"/>
          <w:highlight w:val="none"/>
          <w:lang w:bidi="ar"/>
        </w:rPr>
        <w:t>对</w:t>
      </w:r>
      <w:r>
        <w:rPr>
          <w:rStyle w:val="11"/>
          <w:rFonts w:hint="default" w:eastAsia="仿宋_GB2312" w:cs="Times New Roman"/>
          <w:b w:val="0"/>
          <w:bCs w:val="0"/>
          <w:color w:val="auto"/>
          <w:kern w:val="0"/>
          <w:sz w:val="32"/>
          <w:szCs w:val="32"/>
          <w:highlight w:val="none"/>
          <w:lang w:eastAsia="zh-CN" w:bidi="ar"/>
        </w:rPr>
        <w:t>大型活动资金</w:t>
      </w:r>
      <w:r>
        <w:rPr>
          <w:rStyle w:val="11"/>
          <w:rFonts w:hint="default" w:ascii="Times New Roman" w:hAnsi="Times New Roman" w:eastAsia="仿宋_GB2312" w:cs="Times New Roman"/>
          <w:b w:val="0"/>
          <w:bCs w:val="0"/>
          <w:color w:val="auto"/>
          <w:kern w:val="0"/>
          <w:sz w:val="32"/>
          <w:szCs w:val="32"/>
          <w:highlight w:val="none"/>
          <w:lang w:bidi="ar"/>
        </w:rPr>
        <w:t>使用情况进行监督检查和绩效评价</w:t>
      </w:r>
      <w:r>
        <w:rPr>
          <w:rStyle w:val="12"/>
          <w:rFonts w:hint="default" w:ascii="Times New Roman" w:hAnsi="Times New Roman" w:eastAsia="仿宋" w:cs="Times New Roman"/>
          <w:b w:val="0"/>
          <w:bCs/>
          <w:color w:val="auto"/>
          <w:sz w:val="32"/>
          <w:szCs w:val="32"/>
          <w:highlight w:val="none"/>
        </w:rPr>
        <w:t>。</w:t>
      </w:r>
    </w:p>
    <w:p>
      <w:pPr>
        <w:spacing w:line="578" w:lineRule="exact"/>
        <w:ind w:left="0" w:leftChars="0" w:firstLine="643" w:firstLineChars="200"/>
        <w:textAlignment w:val="auto"/>
        <w:outlineLvl w:val="9"/>
        <w:rPr>
          <w:rFonts w:hint="eastAsia" w:eastAsia="仿宋_GB2312" w:cs="Times New Roman"/>
          <w:color w:val="auto"/>
          <w:sz w:val="32"/>
          <w:szCs w:val="32"/>
          <w:highlight w:val="yellow"/>
          <w:lang w:val="en-US" w:eastAsia="zh-CN"/>
        </w:rPr>
      </w:pPr>
      <w:r>
        <w:rPr>
          <w:rFonts w:hint="default" w:ascii="Times New Roman" w:hAnsi="Times New Roman" w:eastAsia="仿宋_GB2312" w:cs="Times New Roman"/>
          <w:b/>
          <w:bCs/>
          <w:color w:val="auto"/>
          <w:sz w:val="32"/>
          <w:szCs w:val="32"/>
          <w:highlight w:val="none"/>
          <w:lang w:val="en-US" w:eastAsia="zh-CN"/>
        </w:rPr>
        <w:t>第</w:t>
      </w:r>
      <w:r>
        <w:rPr>
          <w:rFonts w:hint="eastAsia"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val="en-US" w:eastAsia="zh-CN"/>
        </w:rPr>
        <w:t xml:space="preserve">条 </w:t>
      </w:r>
      <w:r>
        <w:rPr>
          <w:rFonts w:hint="eastAsia" w:eastAsia="仿宋_GB2312" w:cs="Times New Roman"/>
          <w:color w:val="auto"/>
          <w:sz w:val="32"/>
          <w:szCs w:val="32"/>
          <w:highlight w:val="none"/>
          <w:lang w:val="en-US" w:eastAsia="zh-CN"/>
        </w:rPr>
        <w:t>市旅游文化体育主管部门根据年度工作计划，在每年第三季度发布申报指南，征集次年需要申报的大型活动，明确年度奖励资金支持方向、重点和项目申报具体要求。各申报主体原则上应在申报指南规定申报时间内报送预申报材料。市旅游文化体育主管部门按照《三亚市大型活动奖励项目绩效评价标准表》进行初步评估，对预计能够达到70分以上的大型活动项目统一编入全市大型活动项目清单，经市政府同意后纳入大型活动项目库，未纳入项目库的大型活动项目原则上不予支持。</w:t>
      </w:r>
    </w:p>
    <w:p>
      <w:pPr>
        <w:spacing w:line="578" w:lineRule="exact"/>
        <w:ind w:firstLine="640" w:firstLineChars="200"/>
        <w:rPr>
          <w:rFonts w:hint="eastAsia" w:ascii="Times New Roman" w:hAnsi="Times New Roman" w:eastAsia="仿宋_GB2312" w:cs="Times New Roman"/>
          <w:color w:val="auto"/>
          <w:kern w:val="0"/>
          <w:sz w:val="32"/>
          <w:szCs w:val="32"/>
          <w:highlight w:val="none"/>
          <w:lang w:val="en-US" w:eastAsia="zh-CN" w:bidi="ar"/>
        </w:rPr>
      </w:pPr>
      <w:r>
        <w:rPr>
          <w:rFonts w:hint="eastAsia" w:eastAsia="仿宋_GB2312" w:cs="Times New Roman"/>
          <w:color w:val="auto"/>
          <w:sz w:val="32"/>
          <w:szCs w:val="32"/>
          <w:highlight w:val="none"/>
          <w:lang w:val="en-US" w:eastAsia="zh-CN"/>
        </w:rPr>
        <w:t>年度计划外的大型活动，市旅游文化体育主管部门原则上于次年每季度按程序进行</w:t>
      </w:r>
      <w:r>
        <w:rPr>
          <w:rFonts w:hint="eastAsia" w:eastAsia="仿宋_GB2312" w:cs="Times New Roman"/>
          <w:color w:val="auto"/>
          <w:kern w:val="0"/>
          <w:sz w:val="32"/>
          <w:szCs w:val="32"/>
          <w:highlight w:val="none"/>
          <w:lang w:val="en-US" w:eastAsia="zh-CN" w:bidi="ar"/>
        </w:rPr>
        <w:t>补充征集，经市政府同意后动态更新市级大型活动项目库</w:t>
      </w:r>
      <w:r>
        <w:rPr>
          <w:rFonts w:hint="eastAsia" w:ascii="Times New Roman" w:hAnsi="Times New Roman" w:eastAsia="仿宋_GB2312" w:cs="Times New Roman"/>
          <w:color w:val="auto"/>
          <w:kern w:val="0"/>
          <w:sz w:val="32"/>
          <w:szCs w:val="32"/>
          <w:highlight w:val="none"/>
          <w:lang w:val="en-US" w:eastAsia="zh-CN" w:bidi="ar"/>
        </w:rPr>
        <w:t>。</w:t>
      </w:r>
    </w:p>
    <w:p>
      <w:pPr>
        <w:spacing w:line="578" w:lineRule="exact"/>
        <w:ind w:left="0" w:leftChars="0" w:firstLine="643" w:firstLineChars="200"/>
        <w:textAlignment w:val="auto"/>
        <w:outlineLvl w:val="9"/>
        <w:rPr>
          <w:rFonts w:hint="eastAsia"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第五条</w:t>
      </w:r>
      <w:r>
        <w:rPr>
          <w:rFonts w:hint="eastAsia" w:eastAsia="仿宋_GB2312" w:cs="Times New Roman"/>
          <w:color w:val="auto"/>
          <w:sz w:val="32"/>
          <w:szCs w:val="32"/>
          <w:highlight w:val="none"/>
          <w:lang w:val="en-US" w:eastAsia="zh-CN"/>
        </w:rPr>
        <w:t xml:space="preserve"> </w:t>
      </w:r>
      <w:r>
        <w:rPr>
          <w:rFonts w:hint="default" w:eastAsia="仿宋_GB2312" w:cs="Times New Roman"/>
          <w:color w:val="auto"/>
          <w:sz w:val="32"/>
          <w:szCs w:val="32"/>
          <w:highlight w:val="none"/>
          <w:lang w:val="en-US" w:eastAsia="zh-CN"/>
        </w:rPr>
        <w:t>经市政府批准同意由行业主管部门主办或承办的大型活动，</w:t>
      </w:r>
      <w:r>
        <w:rPr>
          <w:rFonts w:hint="default" w:ascii="Times New Roman" w:hAnsi="Times New Roman" w:eastAsia="仿宋_GB2312" w:cs="Times New Roman"/>
          <w:color w:val="auto"/>
          <w:sz w:val="32"/>
          <w:szCs w:val="32"/>
          <w:highlight w:val="none"/>
          <w:lang w:val="en-US" w:eastAsia="zh-CN"/>
        </w:rPr>
        <w:t>所需资金按照预算编制的时间和相关要求编入承办的市级</w:t>
      </w:r>
      <w:r>
        <w:rPr>
          <w:rFonts w:hint="default" w:eastAsia="仿宋_GB2312" w:cs="Times New Roman"/>
          <w:color w:val="auto"/>
          <w:sz w:val="32"/>
          <w:szCs w:val="32"/>
          <w:highlight w:val="none"/>
          <w:lang w:eastAsia="zh-CN"/>
        </w:rPr>
        <w:t>行业</w:t>
      </w:r>
      <w:r>
        <w:rPr>
          <w:rFonts w:hint="default" w:ascii="Times New Roman" w:hAnsi="Times New Roman" w:eastAsia="仿宋_GB2312" w:cs="Times New Roman"/>
          <w:color w:val="auto"/>
          <w:sz w:val="32"/>
          <w:szCs w:val="32"/>
          <w:highlight w:val="none"/>
          <w:lang w:val="en-US" w:eastAsia="zh-CN"/>
        </w:rPr>
        <w:t>主管部门预算</w:t>
      </w:r>
      <w:r>
        <w:rPr>
          <w:rFonts w:hint="default" w:eastAsia="仿宋_GB2312" w:cs="Times New Roman"/>
          <w:color w:val="auto"/>
          <w:sz w:val="32"/>
          <w:szCs w:val="32"/>
          <w:highlight w:val="none"/>
          <w:lang w:val="en-US" w:eastAsia="zh-CN"/>
        </w:rPr>
        <w:t>，由其根据国库集中支付相关规定负责资金审核及拨付</w:t>
      </w:r>
      <w:r>
        <w:rPr>
          <w:rFonts w:hint="eastAsia" w:eastAsia="仿宋_GB2312" w:cs="Times New Roman"/>
          <w:color w:val="auto"/>
          <w:sz w:val="32"/>
          <w:szCs w:val="32"/>
          <w:highlight w:val="none"/>
          <w:lang w:val="en-US" w:eastAsia="zh-CN"/>
        </w:rPr>
        <w:t>。</w:t>
      </w:r>
    </w:p>
    <w:p>
      <w:pPr>
        <w:spacing w:line="578" w:lineRule="exact"/>
        <w:ind w:left="0" w:lef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bidi="ar"/>
        </w:rPr>
      </w:pPr>
      <w:r>
        <w:rPr>
          <w:rFonts w:hint="eastAsia" w:eastAsia="仿宋_GB2312" w:cs="Times New Roman"/>
          <w:b/>
          <w:bCs/>
          <w:color w:val="auto"/>
          <w:sz w:val="32"/>
          <w:szCs w:val="32"/>
          <w:highlight w:val="none"/>
          <w:lang w:val="en-US" w:eastAsia="zh-CN"/>
        </w:rPr>
        <w:t>第六条</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bidi="ar"/>
        </w:rPr>
        <w:t>对市场主体</w:t>
      </w:r>
      <w:r>
        <w:rPr>
          <w:rFonts w:hint="eastAsia" w:eastAsia="仿宋_GB2312" w:cs="Times New Roman"/>
          <w:color w:val="auto"/>
          <w:sz w:val="32"/>
          <w:szCs w:val="32"/>
          <w:highlight w:val="none"/>
          <w:lang w:val="en-US" w:eastAsia="zh-CN" w:bidi="ar"/>
        </w:rPr>
        <w:t>和社会团体</w:t>
      </w:r>
      <w:r>
        <w:rPr>
          <w:rFonts w:hint="default" w:ascii="Times New Roman" w:hAnsi="Times New Roman" w:eastAsia="仿宋_GB2312" w:cs="Times New Roman"/>
          <w:color w:val="auto"/>
          <w:sz w:val="32"/>
          <w:szCs w:val="32"/>
          <w:highlight w:val="none"/>
          <w:lang w:eastAsia="zh-CN" w:bidi="ar"/>
        </w:rPr>
        <w:t>全额出资举办且已纳入大型活动项目库的活动，根据活动举办后经审计的活动实际总票据支出和绩效评分给予奖励，单个大型活动项目奖励不超过项目实际</w:t>
      </w:r>
      <w:r>
        <w:rPr>
          <w:rFonts w:hint="default" w:eastAsia="仿宋_GB2312" w:cs="Times New Roman"/>
          <w:color w:val="auto"/>
          <w:sz w:val="32"/>
          <w:szCs w:val="32"/>
          <w:highlight w:val="none"/>
          <w:lang w:eastAsia="zh-CN" w:bidi="ar"/>
        </w:rPr>
        <w:t>票据</w:t>
      </w:r>
      <w:r>
        <w:rPr>
          <w:rFonts w:hint="default" w:ascii="Times New Roman" w:hAnsi="Times New Roman" w:eastAsia="仿宋_GB2312" w:cs="Times New Roman"/>
          <w:color w:val="auto"/>
          <w:sz w:val="32"/>
          <w:szCs w:val="32"/>
          <w:highlight w:val="none"/>
          <w:lang w:eastAsia="zh-CN" w:bidi="ar"/>
        </w:rPr>
        <w:t>支出的50％，</w:t>
      </w:r>
      <w:r>
        <w:rPr>
          <w:rFonts w:hint="default" w:eastAsia="仿宋_GB2312" w:cs="Times New Roman"/>
          <w:color w:val="auto"/>
          <w:sz w:val="32"/>
          <w:szCs w:val="32"/>
          <w:highlight w:val="none"/>
          <w:lang w:eastAsia="zh-CN" w:bidi="ar"/>
        </w:rPr>
        <w:t>原则上奖励</w:t>
      </w:r>
      <w:r>
        <w:rPr>
          <w:rFonts w:hint="default" w:ascii="Times New Roman" w:hAnsi="Times New Roman" w:eastAsia="仿宋_GB2312" w:cs="Times New Roman"/>
          <w:color w:val="auto"/>
          <w:sz w:val="32"/>
          <w:szCs w:val="32"/>
          <w:highlight w:val="none"/>
          <w:lang w:eastAsia="zh-CN" w:bidi="ar"/>
        </w:rPr>
        <w:t>金额不</w:t>
      </w:r>
      <w:r>
        <w:rPr>
          <w:rFonts w:hint="default" w:eastAsia="仿宋_GB2312" w:cs="Times New Roman"/>
          <w:color w:val="auto"/>
          <w:sz w:val="32"/>
          <w:szCs w:val="32"/>
          <w:highlight w:val="none"/>
          <w:lang w:eastAsia="zh-CN" w:bidi="ar"/>
        </w:rPr>
        <w:t>超过</w:t>
      </w:r>
      <w:r>
        <w:rPr>
          <w:rFonts w:hint="default" w:ascii="Times New Roman" w:hAnsi="Times New Roman" w:eastAsia="仿宋_GB2312" w:cs="Times New Roman"/>
          <w:color w:val="auto"/>
          <w:sz w:val="32"/>
          <w:szCs w:val="32"/>
          <w:highlight w:val="none"/>
          <w:lang w:eastAsia="zh-CN" w:bidi="ar"/>
        </w:rPr>
        <w:t>300万元。具体按下列标准执行</w:t>
      </w:r>
      <w:r>
        <w:rPr>
          <w:rFonts w:hint="default" w:ascii="Times New Roman" w:hAnsi="Times New Roman" w:eastAsia="仿宋_GB2312" w:cs="Times New Roman"/>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90分（含）以上，可给予</w:t>
      </w:r>
      <w:r>
        <w:rPr>
          <w:rFonts w:hint="eastAsia" w:eastAsia="仿宋_GB2312" w:cs="Times New Roman"/>
          <w:color w:val="auto"/>
          <w:sz w:val="32"/>
          <w:szCs w:val="32"/>
          <w:highlight w:val="none"/>
          <w:lang w:val="en-US" w:eastAsia="zh-CN"/>
        </w:rPr>
        <w:t>大型活动项目</w:t>
      </w:r>
      <w:r>
        <w:rPr>
          <w:rFonts w:hint="default" w:ascii="Times New Roman" w:hAnsi="Times New Roman" w:eastAsia="仿宋_GB2312" w:cs="Times New Roman"/>
          <w:color w:val="auto"/>
          <w:sz w:val="32"/>
          <w:szCs w:val="32"/>
          <w:highlight w:val="none"/>
          <w:lang w:val="en-US" w:eastAsia="zh-CN"/>
        </w:rPr>
        <w:t>实际总支出的</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0%奖励，最高不超过</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00万元</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80（含）—89分（含），可给予</w:t>
      </w:r>
      <w:r>
        <w:rPr>
          <w:rFonts w:hint="eastAsia" w:eastAsia="仿宋_GB2312" w:cs="Times New Roman"/>
          <w:color w:val="auto"/>
          <w:sz w:val="32"/>
          <w:szCs w:val="32"/>
          <w:highlight w:val="none"/>
          <w:lang w:val="en-US" w:eastAsia="zh-CN"/>
        </w:rPr>
        <w:t>大型活动项目</w:t>
      </w:r>
      <w:r>
        <w:rPr>
          <w:rFonts w:hint="default" w:ascii="Times New Roman" w:hAnsi="Times New Roman" w:eastAsia="仿宋_GB2312" w:cs="Times New Roman"/>
          <w:color w:val="auto"/>
          <w:sz w:val="32"/>
          <w:szCs w:val="32"/>
          <w:highlight w:val="none"/>
          <w:lang w:val="en-US" w:eastAsia="zh-CN"/>
        </w:rPr>
        <w:t>实际总支出的</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0%奖励，最高不超过</w:t>
      </w:r>
      <w:r>
        <w:rPr>
          <w:rFonts w:hint="eastAsia"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0万元</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70（含）—79分（含），可给予</w:t>
      </w:r>
      <w:r>
        <w:rPr>
          <w:rFonts w:hint="eastAsia" w:eastAsia="仿宋_GB2312" w:cs="Times New Roman"/>
          <w:color w:val="auto"/>
          <w:sz w:val="32"/>
          <w:szCs w:val="32"/>
          <w:highlight w:val="none"/>
          <w:lang w:val="en-US" w:eastAsia="zh-CN"/>
        </w:rPr>
        <w:t>大型活动项目</w:t>
      </w:r>
      <w:r>
        <w:rPr>
          <w:rFonts w:hint="default" w:ascii="Times New Roman" w:hAnsi="Times New Roman" w:eastAsia="仿宋_GB2312" w:cs="Times New Roman"/>
          <w:color w:val="auto"/>
          <w:sz w:val="32"/>
          <w:szCs w:val="32"/>
          <w:highlight w:val="none"/>
          <w:lang w:val="en-US" w:eastAsia="zh-CN"/>
        </w:rPr>
        <w:t>实际总支出的</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0%奖励，最高不超过</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00万元</w:t>
      </w:r>
      <w:r>
        <w:rPr>
          <w:rFonts w:hint="eastAsia" w:eastAsia="仿宋_GB2312" w:cs="Times New Roman"/>
          <w:color w:val="auto"/>
          <w:sz w:val="32"/>
          <w:szCs w:val="32"/>
          <w:highlight w:val="none"/>
          <w:lang w:val="en-US" w:eastAsia="zh-CN"/>
        </w:rPr>
        <w:t>；</w:t>
      </w:r>
    </w:p>
    <w:p>
      <w:pPr>
        <w:spacing w:line="578"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70分及以下，不予奖励且以后不再受理该大型活动项目的奖励申报</w:t>
      </w:r>
      <w:r>
        <w:rPr>
          <w:rFonts w:hint="default" w:ascii="Times New Roman" w:hAnsi="Times New Roman" w:eastAsia="仿宋_GB2312" w:cs="Times New Roman"/>
          <w:color w:val="auto"/>
          <w:sz w:val="32"/>
          <w:szCs w:val="32"/>
          <w:highlight w:val="none"/>
          <w:lang w:val="en-US" w:eastAsia="zh-CN"/>
        </w:rPr>
        <w:t>。</w:t>
      </w:r>
    </w:p>
    <w:p>
      <w:pPr>
        <w:keepNext w:val="0"/>
        <w:keepLines w:val="0"/>
        <w:widowControl/>
        <w:suppressLineNumbers w:val="0"/>
        <w:spacing w:line="578" w:lineRule="exact"/>
        <w:ind w:firstLine="640" w:firstLineChars="200"/>
        <w:jc w:val="left"/>
        <w:outlineLvl w:val="9"/>
        <w:rPr>
          <w:rFonts w:hint="eastAsia" w:eastAsia="仿宋_GB2312"/>
          <w:color w:val="auto"/>
          <w:sz w:val="32"/>
          <w:szCs w:val="32"/>
          <w:highlight w:val="none"/>
        </w:rPr>
      </w:pP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
        </w:rPr>
        <w:t>对促进全市旅游消费具有重大影响力的大型活动项目，可</w:t>
      </w:r>
      <w:r>
        <w:rPr>
          <w:rFonts w:hint="eastAsia" w:eastAsia="仿宋_GB2312" w:cs="Times New Roman"/>
          <w:i w:val="0"/>
          <w:caps w:val="0"/>
          <w:color w:val="auto"/>
          <w:spacing w:val="0"/>
          <w:kern w:val="2"/>
          <w:sz w:val="32"/>
          <w:szCs w:val="32"/>
          <w:highlight w:val="none"/>
          <w:shd w:val="clear" w:fill="auto"/>
          <w:lang w:val="en-US" w:eastAsia="zh-CN" w:bidi="ar"/>
        </w:rPr>
        <w:t>按“一事一议”方式报</w:t>
      </w: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
        </w:rPr>
        <w:t>经市政府</w:t>
      </w:r>
      <w:r>
        <w:rPr>
          <w:rFonts w:hint="eastAsia" w:eastAsia="仿宋_GB2312" w:cs="Times New Roman"/>
          <w:i w:val="0"/>
          <w:caps w:val="0"/>
          <w:color w:val="auto"/>
          <w:spacing w:val="0"/>
          <w:kern w:val="2"/>
          <w:sz w:val="32"/>
          <w:szCs w:val="32"/>
          <w:highlight w:val="none"/>
          <w:shd w:val="clear" w:fill="auto"/>
          <w:lang w:val="en-US" w:eastAsia="zh-CN" w:bidi="ar"/>
        </w:rPr>
        <w:t>审议同意</w:t>
      </w: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
        </w:rPr>
        <w:t>予以</w:t>
      </w:r>
      <w:r>
        <w:rPr>
          <w:rFonts w:hint="default" w:eastAsia="仿宋_GB2312" w:cs="Times New Roman"/>
          <w:i w:val="0"/>
          <w:caps w:val="0"/>
          <w:color w:val="auto"/>
          <w:spacing w:val="0"/>
          <w:kern w:val="2"/>
          <w:sz w:val="32"/>
          <w:szCs w:val="32"/>
          <w:highlight w:val="none"/>
          <w:shd w:val="clear" w:fill="auto"/>
          <w:lang w:eastAsia="zh-CN" w:bidi="ar"/>
        </w:rPr>
        <w:t>支持</w:t>
      </w: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
        </w:rPr>
        <w:t>。</w:t>
      </w:r>
    </w:p>
    <w:p>
      <w:pPr>
        <w:numPr>
          <w:ilvl w:val="-1"/>
          <w:numId w:val="0"/>
        </w:numPr>
        <w:spacing w:line="578" w:lineRule="exact"/>
        <w:ind w:left="0" w:leftChars="0" w:firstLine="643" w:firstLineChars="200"/>
        <w:textAlignment w:val="auto"/>
        <w:outlineLvl w:val="9"/>
        <w:rPr>
          <w:rFonts w:hint="default" w:ascii="Times New Roman" w:hAnsi="Times New Roman" w:cs="Times New Roman"/>
          <w:color w:val="auto"/>
          <w:highlight w:val="none"/>
          <w:lang w:val="en-US" w:eastAsia="zh-CN"/>
        </w:rPr>
      </w:pPr>
      <w:r>
        <w:rPr>
          <w:rStyle w:val="12"/>
          <w:rFonts w:hint="default" w:ascii="Times New Roman" w:hAnsi="Times New Roman" w:eastAsia="仿宋" w:cs="Times New Roman"/>
          <w:color w:val="auto"/>
          <w:sz w:val="32"/>
          <w:szCs w:val="32"/>
          <w:highlight w:val="none"/>
        </w:rPr>
        <w:t>第</w:t>
      </w:r>
      <w:r>
        <w:rPr>
          <w:rStyle w:val="12"/>
          <w:rFonts w:hint="eastAsia" w:eastAsia="仿宋" w:cs="Times New Roman"/>
          <w:color w:val="auto"/>
          <w:sz w:val="32"/>
          <w:szCs w:val="32"/>
          <w:highlight w:val="none"/>
          <w:lang w:eastAsia="zh-CN"/>
        </w:rPr>
        <w:t>七</w:t>
      </w:r>
      <w:r>
        <w:rPr>
          <w:rStyle w:val="12"/>
          <w:rFonts w:hint="default" w:ascii="Times New Roman" w:hAnsi="Times New Roman" w:eastAsia="仿宋" w:cs="Times New Roman"/>
          <w:color w:val="auto"/>
          <w:sz w:val="32"/>
          <w:szCs w:val="32"/>
          <w:highlight w:val="none"/>
        </w:rPr>
        <w:t>条</w:t>
      </w:r>
      <w:r>
        <w:rPr>
          <w:rStyle w:val="12"/>
          <w:rFonts w:hint="default" w:ascii="Times New Roman" w:hAnsi="Times New Roman" w:eastAsia="仿宋" w:cs="Times New Roman"/>
          <w:color w:val="auto"/>
          <w:sz w:val="32"/>
          <w:szCs w:val="32"/>
          <w:highlight w:val="none"/>
          <w:lang w:val="en-US" w:eastAsia="zh-CN"/>
        </w:rPr>
        <w:t xml:space="preserve"> </w:t>
      </w:r>
      <w:r>
        <w:rPr>
          <w:rStyle w:val="11"/>
          <w:rFonts w:hint="default" w:eastAsia="仿宋_GB2312" w:cs="Times New Roman"/>
          <w:b w:val="0"/>
          <w:bCs w:val="0"/>
          <w:color w:val="auto"/>
          <w:sz w:val="32"/>
          <w:szCs w:val="32"/>
          <w:highlight w:val="none"/>
          <w:lang w:val="en-US" w:eastAsia="zh-CN"/>
        </w:rPr>
        <w:t>鼓励</w:t>
      </w:r>
      <w:r>
        <w:rPr>
          <w:rStyle w:val="11"/>
          <w:rFonts w:hint="default" w:ascii="Times New Roman" w:hAnsi="Times New Roman" w:eastAsia="仿宋_GB2312" w:cs="Times New Roman"/>
          <w:b w:val="0"/>
          <w:bCs w:val="0"/>
          <w:color w:val="auto"/>
          <w:sz w:val="32"/>
          <w:szCs w:val="32"/>
          <w:highlight w:val="none"/>
          <w:lang w:val="en-US" w:eastAsia="zh-CN"/>
        </w:rPr>
        <w:t>市场主体</w:t>
      </w:r>
      <w:r>
        <w:rPr>
          <w:rStyle w:val="11"/>
          <w:rFonts w:hint="eastAsia" w:eastAsia="仿宋_GB2312" w:cs="Times New Roman"/>
          <w:b w:val="0"/>
          <w:bCs w:val="0"/>
          <w:color w:val="auto"/>
          <w:sz w:val="32"/>
          <w:szCs w:val="32"/>
          <w:highlight w:val="none"/>
          <w:lang w:val="en-US" w:eastAsia="zh-CN"/>
        </w:rPr>
        <w:t>和社会团体</w:t>
      </w:r>
      <w:r>
        <w:rPr>
          <w:rStyle w:val="11"/>
          <w:rFonts w:hint="default" w:eastAsia="仿宋_GB2312" w:cs="Times New Roman"/>
          <w:b w:val="0"/>
          <w:bCs w:val="0"/>
          <w:color w:val="auto"/>
          <w:sz w:val="32"/>
          <w:szCs w:val="32"/>
          <w:highlight w:val="none"/>
          <w:lang w:val="en-US" w:eastAsia="zh-CN"/>
        </w:rPr>
        <w:t>在旅游</w:t>
      </w:r>
      <w:r>
        <w:rPr>
          <w:rStyle w:val="11"/>
          <w:rFonts w:hint="default" w:ascii="Times New Roman" w:hAnsi="Times New Roman" w:eastAsia="仿宋_GB2312" w:cs="Times New Roman"/>
          <w:b w:val="0"/>
          <w:bCs w:val="0"/>
          <w:color w:val="auto"/>
          <w:sz w:val="32"/>
          <w:szCs w:val="32"/>
          <w:highlight w:val="none"/>
          <w:lang w:val="en-US" w:eastAsia="zh-CN"/>
        </w:rPr>
        <w:t>淡季举办活动。每年</w:t>
      </w:r>
      <w:r>
        <w:rPr>
          <w:rStyle w:val="11"/>
          <w:rFonts w:hint="default" w:eastAsia="仿宋_GB2312" w:cs="Times New Roman"/>
          <w:b w:val="0"/>
          <w:bCs w:val="0"/>
          <w:color w:val="auto"/>
          <w:sz w:val="32"/>
          <w:szCs w:val="32"/>
          <w:highlight w:val="none"/>
          <w:lang w:val="en-US" w:eastAsia="zh-CN"/>
        </w:rPr>
        <w:t>第二季度和第三季度举办</w:t>
      </w:r>
      <w:r>
        <w:rPr>
          <w:rStyle w:val="11"/>
          <w:rFonts w:hint="default" w:ascii="Times New Roman" w:hAnsi="Times New Roman" w:eastAsia="仿宋_GB2312" w:cs="Times New Roman"/>
          <w:b w:val="0"/>
          <w:bCs w:val="0"/>
          <w:color w:val="auto"/>
          <w:sz w:val="32"/>
          <w:szCs w:val="32"/>
          <w:highlight w:val="none"/>
          <w:lang w:val="en-US" w:eastAsia="zh-CN"/>
        </w:rPr>
        <w:t>的</w:t>
      </w:r>
      <w:r>
        <w:rPr>
          <w:rStyle w:val="11"/>
          <w:rFonts w:hint="eastAsia" w:eastAsia="仿宋_GB2312" w:cs="Times New Roman"/>
          <w:b w:val="0"/>
          <w:bCs w:val="0"/>
          <w:color w:val="auto"/>
          <w:sz w:val="32"/>
          <w:szCs w:val="32"/>
          <w:highlight w:val="none"/>
          <w:lang w:val="en-US" w:eastAsia="zh-CN"/>
        </w:rPr>
        <w:t>大型</w:t>
      </w:r>
      <w:r>
        <w:rPr>
          <w:rStyle w:val="11"/>
          <w:rFonts w:hint="default" w:ascii="Times New Roman" w:hAnsi="Times New Roman" w:eastAsia="仿宋_GB2312" w:cs="Times New Roman"/>
          <w:b w:val="0"/>
          <w:bCs w:val="0"/>
          <w:color w:val="auto"/>
          <w:sz w:val="32"/>
          <w:szCs w:val="32"/>
          <w:highlight w:val="none"/>
          <w:lang w:val="en-US" w:eastAsia="zh-CN"/>
        </w:rPr>
        <w:t>活动</w:t>
      </w:r>
      <w:r>
        <w:rPr>
          <w:rStyle w:val="11"/>
          <w:rFonts w:hint="eastAsia" w:eastAsia="仿宋_GB2312" w:cs="Times New Roman"/>
          <w:b w:val="0"/>
          <w:bCs w:val="0"/>
          <w:strike w:val="0"/>
          <w:dstrike w:val="0"/>
          <w:color w:val="auto"/>
          <w:sz w:val="32"/>
          <w:szCs w:val="32"/>
          <w:highlight w:val="none"/>
          <w:lang w:val="en-US" w:eastAsia="zh-CN"/>
        </w:rPr>
        <w:t>项目</w:t>
      </w:r>
      <w:r>
        <w:rPr>
          <w:rStyle w:val="11"/>
          <w:rFonts w:hint="default" w:ascii="Times New Roman" w:hAnsi="Times New Roman" w:eastAsia="仿宋_GB2312" w:cs="Times New Roman"/>
          <w:b w:val="0"/>
          <w:bCs w:val="0"/>
          <w:color w:val="auto"/>
          <w:sz w:val="32"/>
          <w:szCs w:val="32"/>
          <w:highlight w:val="none"/>
          <w:lang w:val="en-US" w:eastAsia="zh-CN"/>
        </w:rPr>
        <w:t>，在第</w:t>
      </w:r>
      <w:r>
        <w:rPr>
          <w:rStyle w:val="11"/>
          <w:rFonts w:hint="eastAsia" w:eastAsia="仿宋_GB2312" w:cs="Times New Roman"/>
          <w:b w:val="0"/>
          <w:bCs w:val="0"/>
          <w:color w:val="auto"/>
          <w:sz w:val="32"/>
          <w:szCs w:val="32"/>
          <w:highlight w:val="none"/>
          <w:lang w:val="en-US" w:eastAsia="zh-CN"/>
        </w:rPr>
        <w:t>六</w:t>
      </w:r>
      <w:r>
        <w:rPr>
          <w:rStyle w:val="11"/>
          <w:rFonts w:hint="default" w:ascii="Times New Roman" w:hAnsi="Times New Roman" w:eastAsia="仿宋_GB2312" w:cs="Times New Roman"/>
          <w:b w:val="0"/>
          <w:bCs w:val="0"/>
          <w:color w:val="auto"/>
          <w:sz w:val="32"/>
          <w:szCs w:val="32"/>
          <w:highlight w:val="none"/>
          <w:lang w:val="en-US" w:eastAsia="zh-CN"/>
        </w:rPr>
        <w:t>条</w:t>
      </w:r>
      <w:r>
        <w:rPr>
          <w:rStyle w:val="11"/>
          <w:rFonts w:hint="eastAsia" w:eastAsia="仿宋_GB2312" w:cs="Times New Roman"/>
          <w:b w:val="0"/>
          <w:bCs w:val="0"/>
          <w:color w:val="auto"/>
          <w:sz w:val="32"/>
          <w:szCs w:val="32"/>
          <w:highlight w:val="none"/>
          <w:lang w:val="en-US" w:eastAsia="zh-CN"/>
        </w:rPr>
        <w:t>奖励金额的</w:t>
      </w:r>
      <w:r>
        <w:rPr>
          <w:rStyle w:val="11"/>
          <w:rFonts w:hint="default" w:ascii="Times New Roman" w:hAnsi="Times New Roman" w:eastAsia="仿宋_GB2312" w:cs="Times New Roman"/>
          <w:b w:val="0"/>
          <w:bCs w:val="0"/>
          <w:color w:val="auto"/>
          <w:sz w:val="32"/>
          <w:szCs w:val="32"/>
          <w:highlight w:val="none"/>
          <w:lang w:val="en-US" w:eastAsia="zh-CN"/>
        </w:rPr>
        <w:t>基础上再上浮</w:t>
      </w:r>
      <w:r>
        <w:rPr>
          <w:rStyle w:val="11"/>
          <w:rFonts w:hint="default" w:eastAsia="仿宋_GB2312" w:cs="Times New Roman"/>
          <w:b w:val="0"/>
          <w:bCs w:val="0"/>
          <w:color w:val="auto"/>
          <w:sz w:val="32"/>
          <w:szCs w:val="32"/>
          <w:highlight w:val="none"/>
          <w:lang w:val="en-US" w:eastAsia="zh-CN"/>
        </w:rPr>
        <w:t>2</w:t>
      </w:r>
      <w:r>
        <w:rPr>
          <w:rStyle w:val="11"/>
          <w:rFonts w:hint="default" w:ascii="Times New Roman" w:hAnsi="Times New Roman" w:eastAsia="仿宋_GB2312" w:cs="Times New Roman"/>
          <w:b w:val="0"/>
          <w:bCs w:val="0"/>
          <w:color w:val="auto"/>
          <w:sz w:val="32"/>
          <w:szCs w:val="32"/>
          <w:highlight w:val="none"/>
          <w:lang w:val="en-US" w:eastAsia="zh-CN"/>
        </w:rPr>
        <w:t>0%</w:t>
      </w:r>
      <w:r>
        <w:rPr>
          <w:rStyle w:val="12"/>
          <w:rFonts w:hint="default" w:ascii="Times New Roman" w:hAnsi="Times New Roman" w:eastAsia="仿宋" w:cs="Times New Roman"/>
          <w:b w:val="0"/>
          <w:bCs/>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第八条</w:t>
      </w:r>
      <w:r>
        <w:rPr>
          <w:rFonts w:hint="eastAsia" w:eastAsia="仿宋_GB2312" w:cs="Times New Roman"/>
          <w:color w:val="auto"/>
          <w:sz w:val="32"/>
          <w:szCs w:val="32"/>
          <w:highlight w:val="none"/>
          <w:lang w:val="en-US" w:eastAsia="zh-CN"/>
        </w:rPr>
        <w:t xml:space="preserve"> 市场主体和社会团体全额出资主办的大型</w:t>
      </w:r>
      <w:r>
        <w:rPr>
          <w:rFonts w:hint="default" w:ascii="Times New Roman" w:hAnsi="Times New Roman" w:eastAsia="仿宋_GB2312" w:cs="Times New Roman"/>
          <w:color w:val="auto"/>
          <w:sz w:val="32"/>
          <w:szCs w:val="32"/>
          <w:highlight w:val="none"/>
          <w:lang w:val="en-US" w:eastAsia="zh-CN"/>
        </w:rPr>
        <w:t>活动</w:t>
      </w:r>
      <w:r>
        <w:rPr>
          <w:rFonts w:hint="eastAsia" w:eastAsia="仿宋_GB2312" w:cs="Times New Roman"/>
          <w:color w:val="auto"/>
          <w:sz w:val="32"/>
          <w:szCs w:val="32"/>
          <w:highlight w:val="none"/>
          <w:lang w:val="en-US" w:eastAsia="zh-CN"/>
        </w:rPr>
        <w:t>由市旅游文化体育主管部</w:t>
      </w:r>
      <w:r>
        <w:rPr>
          <w:rFonts w:hint="default" w:eastAsia="仿宋_GB2312" w:cs="Times New Roman"/>
          <w:color w:val="auto"/>
          <w:sz w:val="32"/>
          <w:szCs w:val="32"/>
          <w:highlight w:val="none"/>
          <w:lang w:val="en-US" w:eastAsia="zh-CN"/>
        </w:rPr>
        <w:t>门</w:t>
      </w:r>
      <w:r>
        <w:rPr>
          <w:rFonts w:hint="default"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lang w:eastAsia="zh-CN"/>
        </w:rPr>
        <w:t>跟踪核实</w:t>
      </w:r>
      <w:r>
        <w:rPr>
          <w:rFonts w:hint="default" w:ascii="Times New Roman" w:hAnsi="Times New Roman" w:eastAsia="仿宋_GB2312" w:cs="Times New Roman"/>
          <w:color w:val="auto"/>
          <w:sz w:val="32"/>
          <w:szCs w:val="32"/>
          <w:highlight w:val="none"/>
          <w:lang w:val="en-US" w:eastAsia="zh-CN"/>
        </w:rPr>
        <w:t>。活动结束后</w:t>
      </w:r>
      <w:r>
        <w:rPr>
          <w:rFonts w:hint="eastAsia"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申报单位提交绩效自评报告、经费收支报告及验收材料等</w:t>
      </w:r>
      <w:r>
        <w:rPr>
          <w:rFonts w:hint="eastAsia" w:eastAsia="仿宋_GB2312" w:cs="Times New Roman"/>
          <w:color w:val="auto"/>
          <w:sz w:val="32"/>
          <w:szCs w:val="32"/>
          <w:highlight w:val="none"/>
          <w:lang w:val="en-US" w:eastAsia="zh-CN"/>
        </w:rPr>
        <w:t>。市旅游文化体育主管部门</w:t>
      </w:r>
      <w:r>
        <w:rPr>
          <w:rFonts w:hint="default" w:ascii="Times New Roman" w:hAnsi="Times New Roman" w:eastAsia="仿宋_GB2312" w:cs="Times New Roman"/>
          <w:color w:val="auto"/>
          <w:sz w:val="32"/>
          <w:szCs w:val="32"/>
          <w:highlight w:val="none"/>
          <w:lang w:val="en-US" w:eastAsia="zh-CN"/>
        </w:rPr>
        <w:t>组织相关行业内专家对</w:t>
      </w:r>
      <w:r>
        <w:rPr>
          <w:rFonts w:hint="eastAsia" w:eastAsia="仿宋_GB2312" w:cs="Times New Roman"/>
          <w:b w:val="0"/>
          <w:bCs w:val="0"/>
          <w:color w:val="auto"/>
          <w:sz w:val="32"/>
          <w:szCs w:val="32"/>
          <w:highlight w:val="none"/>
          <w:lang w:val="en-US" w:eastAsia="zh-CN"/>
        </w:rPr>
        <w:t>提交奖励申请且纳入市级大型项目库的大型活动项目的绩效得分、经费使用、验收报告等材料进行审核，</w:t>
      </w:r>
      <w:r>
        <w:rPr>
          <w:rFonts w:hint="default" w:ascii="Times New Roman" w:hAnsi="Times New Roman" w:eastAsia="仿宋_GB2312" w:cs="Times New Roman"/>
          <w:color w:val="auto"/>
          <w:sz w:val="32"/>
          <w:szCs w:val="32"/>
          <w:highlight w:val="none"/>
          <w:lang w:val="en-US" w:eastAsia="zh-CN"/>
        </w:rPr>
        <w:t>提出奖励方案，</w:t>
      </w:r>
      <w:r>
        <w:rPr>
          <w:rFonts w:hint="eastAsia" w:eastAsia="仿宋_GB2312" w:cs="Times New Roman"/>
          <w:color w:val="auto"/>
          <w:sz w:val="32"/>
          <w:szCs w:val="32"/>
          <w:highlight w:val="none"/>
          <w:lang w:val="en-US" w:eastAsia="zh-CN"/>
        </w:rPr>
        <w:t>对拟</w:t>
      </w:r>
      <w:r>
        <w:rPr>
          <w:rFonts w:hint="default" w:eastAsia="仿宋_GB2312" w:cs="Times New Roman"/>
          <w:color w:val="auto"/>
          <w:sz w:val="32"/>
          <w:szCs w:val="32"/>
          <w:highlight w:val="none"/>
          <w:lang w:eastAsia="zh-CN"/>
        </w:rPr>
        <w:t>奖励的大型活动</w:t>
      </w:r>
      <w:r>
        <w:rPr>
          <w:rFonts w:hint="eastAsia"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en-US" w:eastAsia="zh-CN"/>
        </w:rPr>
        <w:t>进行公示</w:t>
      </w:r>
      <w:r>
        <w:rPr>
          <w:rFonts w:hint="default" w:eastAsia="仿宋_GB2312" w:cs="Times New Roman"/>
          <w:color w:val="auto"/>
          <w:sz w:val="32"/>
          <w:szCs w:val="32"/>
          <w:highlight w:val="none"/>
          <w:lang w:eastAsia="zh-CN"/>
        </w:rPr>
        <w:t>，公示无异议后</w:t>
      </w:r>
      <w:r>
        <w:rPr>
          <w:rFonts w:hint="default" w:ascii="Times New Roman" w:hAnsi="Times New Roman" w:eastAsia="仿宋_GB2312" w:cs="Times New Roman"/>
          <w:color w:val="auto"/>
          <w:sz w:val="32"/>
          <w:szCs w:val="32"/>
          <w:highlight w:val="none"/>
          <w:lang w:val="en-US" w:eastAsia="zh-CN"/>
        </w:rPr>
        <w:t>按</w:t>
      </w:r>
      <w:r>
        <w:rPr>
          <w:rFonts w:hint="eastAsia" w:eastAsia="仿宋_GB2312" w:cs="Times New Roman"/>
          <w:color w:val="auto"/>
          <w:sz w:val="32"/>
          <w:szCs w:val="32"/>
          <w:highlight w:val="none"/>
          <w:lang w:val="en-US" w:eastAsia="zh-CN"/>
        </w:rPr>
        <w:t>国库集中支付有</w:t>
      </w:r>
      <w:r>
        <w:rPr>
          <w:rFonts w:hint="default" w:eastAsia="仿宋_GB2312" w:cs="Times New Roman"/>
          <w:color w:val="auto"/>
          <w:sz w:val="32"/>
          <w:szCs w:val="32"/>
          <w:highlight w:val="none"/>
          <w:lang w:eastAsia="zh-CN"/>
        </w:rPr>
        <w:t>关规定</w:t>
      </w:r>
      <w:r>
        <w:rPr>
          <w:rFonts w:hint="default" w:ascii="Times New Roman" w:hAnsi="Times New Roman" w:eastAsia="仿宋_GB2312" w:cs="Times New Roman"/>
          <w:color w:val="auto"/>
          <w:sz w:val="32"/>
          <w:szCs w:val="32"/>
          <w:highlight w:val="none"/>
          <w:lang w:val="en-US" w:eastAsia="zh-CN"/>
        </w:rPr>
        <w:t>拨付</w:t>
      </w:r>
      <w:r>
        <w:rPr>
          <w:rFonts w:hint="eastAsia" w:eastAsia="仿宋_GB2312" w:cs="Times New Roman"/>
          <w:color w:val="auto"/>
          <w:sz w:val="32"/>
          <w:szCs w:val="32"/>
          <w:highlight w:val="none"/>
          <w:lang w:val="en-US" w:eastAsia="zh-CN"/>
        </w:rPr>
        <w:t>奖励</w:t>
      </w:r>
      <w:r>
        <w:rPr>
          <w:rFonts w:hint="default"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w:t>
      </w:r>
      <w:r>
        <w:rPr>
          <w:rFonts w:hint="eastAsia"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lang w:val="en-US" w:eastAsia="zh-CN"/>
        </w:rPr>
        <w:t>各</w:t>
      </w:r>
      <w:r>
        <w:rPr>
          <w:rFonts w:hint="default" w:eastAsia="仿宋_GB2312" w:cs="Times New Roman"/>
          <w:b w:val="0"/>
          <w:bCs w:val="0"/>
          <w:color w:val="auto"/>
          <w:sz w:val="32"/>
          <w:szCs w:val="32"/>
          <w:highlight w:val="none"/>
          <w:lang w:eastAsia="zh-CN"/>
        </w:rPr>
        <w:t>行业主管</w:t>
      </w:r>
      <w:r>
        <w:rPr>
          <w:rFonts w:hint="default" w:ascii="Times New Roman" w:hAnsi="Times New Roman" w:eastAsia="仿宋_GB2312" w:cs="Times New Roman"/>
          <w:b w:val="0"/>
          <w:bCs w:val="0"/>
          <w:color w:val="auto"/>
          <w:sz w:val="32"/>
          <w:szCs w:val="32"/>
          <w:highlight w:val="none"/>
          <w:lang w:val="en-US" w:eastAsia="zh-CN"/>
        </w:rPr>
        <w:t>部门</w:t>
      </w:r>
      <w:r>
        <w:rPr>
          <w:rFonts w:hint="default" w:eastAsia="仿宋_GB2312" w:cs="Times New Roman"/>
          <w:b w:val="0"/>
          <w:bCs w:val="0"/>
          <w:color w:val="auto"/>
          <w:sz w:val="32"/>
          <w:szCs w:val="32"/>
          <w:highlight w:val="none"/>
          <w:lang w:eastAsia="zh-CN"/>
        </w:rPr>
        <w:t>要</w:t>
      </w:r>
      <w:r>
        <w:rPr>
          <w:rFonts w:hint="default" w:ascii="Times New Roman" w:hAnsi="Times New Roman" w:eastAsia="仿宋_GB2312" w:cs="Times New Roman"/>
          <w:b w:val="0"/>
          <w:bCs w:val="0"/>
          <w:color w:val="auto"/>
          <w:sz w:val="32"/>
          <w:szCs w:val="32"/>
          <w:highlight w:val="none"/>
          <w:lang w:val="en-US" w:eastAsia="zh-CN"/>
        </w:rPr>
        <w:t>按照全面实施预算绩效管理的要求，</w:t>
      </w:r>
      <w:r>
        <w:rPr>
          <w:rFonts w:hint="eastAsia" w:eastAsia="仿宋_GB2312" w:cs="Times New Roman"/>
          <w:b w:val="0"/>
          <w:bCs w:val="0"/>
          <w:color w:val="auto"/>
          <w:sz w:val="32"/>
          <w:szCs w:val="32"/>
          <w:highlight w:val="none"/>
          <w:lang w:val="en-US" w:eastAsia="zh-CN"/>
        </w:rPr>
        <w:t>强化绩效目标管理，对</w:t>
      </w:r>
      <w:r>
        <w:rPr>
          <w:rFonts w:hint="eastAsia" w:eastAsia="仿宋_GB2312" w:cs="Times New Roman"/>
          <w:color w:val="auto"/>
          <w:sz w:val="32"/>
          <w:szCs w:val="32"/>
          <w:highlight w:val="none"/>
          <w:lang w:val="en-US" w:eastAsia="zh-CN"/>
        </w:rPr>
        <w:t>大型活动的举办从严把关，厉行节约，反对铺张浪费，注重活动实效。</w:t>
      </w:r>
      <w:r>
        <w:rPr>
          <w:rFonts w:hint="eastAsia" w:eastAsia="仿宋_GB2312" w:cs="Times New Roman"/>
          <w:b w:val="0"/>
          <w:bCs w:val="0"/>
          <w:color w:val="auto"/>
          <w:sz w:val="32"/>
          <w:szCs w:val="32"/>
          <w:highlight w:val="none"/>
          <w:lang w:val="en-US" w:eastAsia="zh-CN"/>
        </w:rPr>
        <w:t>市旅游文化体育主管部门</w:t>
      </w:r>
      <w:r>
        <w:rPr>
          <w:rFonts w:hint="default" w:ascii="Times New Roman" w:hAnsi="Times New Roman" w:eastAsia="仿宋_GB2312" w:cs="Times New Roman"/>
          <w:b w:val="0"/>
          <w:bCs w:val="0"/>
          <w:color w:val="auto"/>
          <w:sz w:val="32"/>
          <w:szCs w:val="32"/>
          <w:highlight w:val="none"/>
          <w:lang w:val="en-US" w:eastAsia="zh-CN"/>
        </w:rPr>
        <w:t>按照政府信息公开的要求</w:t>
      </w:r>
      <w:r>
        <w:rPr>
          <w:rFonts w:hint="eastAsia" w:eastAsia="仿宋_GB2312" w:cs="Times New Roman"/>
          <w:b w:val="0"/>
          <w:bCs w:val="0"/>
          <w:color w:val="auto"/>
          <w:sz w:val="32"/>
          <w:szCs w:val="32"/>
          <w:highlight w:val="none"/>
          <w:lang w:val="en-US" w:eastAsia="zh-CN"/>
        </w:rPr>
        <w:t>对大型活动资金</w:t>
      </w:r>
      <w:r>
        <w:rPr>
          <w:rFonts w:hint="default" w:ascii="Times New Roman" w:hAnsi="Times New Roman" w:eastAsia="仿宋_GB2312" w:cs="Times New Roman"/>
          <w:b w:val="0"/>
          <w:bCs w:val="0"/>
          <w:color w:val="auto"/>
          <w:sz w:val="32"/>
          <w:szCs w:val="32"/>
          <w:highlight w:val="none"/>
          <w:lang w:val="en-US" w:eastAsia="zh-CN"/>
        </w:rPr>
        <w:t>的年度整体绩效目标、使用管理和绩效评价结果实施公开。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3" w:firstLineChars="200"/>
        <w:jc w:val="both"/>
        <w:textAlignment w:val="auto"/>
        <w:outlineLvl w:val="9"/>
        <w:rPr>
          <w:rStyle w:val="12"/>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第十条 </w:t>
      </w:r>
      <w:r>
        <w:rPr>
          <w:rFonts w:hint="eastAsia" w:eastAsia="仿宋_GB2312" w:cs="Times New Roman"/>
          <w:b w:val="0"/>
          <w:bCs w:val="0"/>
          <w:color w:val="auto"/>
          <w:sz w:val="32"/>
          <w:szCs w:val="32"/>
          <w:highlight w:val="none"/>
          <w:lang w:eastAsia="zh-CN"/>
        </w:rPr>
        <w:t>大型活动资金</w:t>
      </w:r>
      <w:r>
        <w:rPr>
          <w:rFonts w:hint="default" w:ascii="Times New Roman" w:hAnsi="Times New Roman" w:eastAsia="仿宋_GB2312" w:cs="Times New Roman"/>
          <w:b w:val="0"/>
          <w:bCs w:val="0"/>
          <w:color w:val="auto"/>
          <w:sz w:val="32"/>
          <w:szCs w:val="32"/>
          <w:highlight w:val="none"/>
          <w:lang w:eastAsia="zh-CN"/>
        </w:rPr>
        <w:t>不得与其他市级财政补助资金重复申请，</w:t>
      </w:r>
      <w:r>
        <w:rPr>
          <w:rFonts w:hint="default" w:ascii="Times New Roman" w:hAnsi="Times New Roman" w:eastAsia="仿宋_GB2312" w:cs="Times New Roman"/>
          <w:color w:val="auto"/>
          <w:sz w:val="32"/>
          <w:szCs w:val="32"/>
          <w:highlight w:val="none"/>
        </w:rPr>
        <w:t>已获得其他市级财政性资金支持的项目，不再给予支持。</w:t>
      </w:r>
      <w:r>
        <w:rPr>
          <w:rFonts w:ascii="Times New Roman" w:hAnsi="Times New Roman" w:eastAsia="仿宋_GB2312" w:cs="Times New Roman"/>
          <w:i w:val="0"/>
          <w:caps w:val="0"/>
          <w:color w:val="auto"/>
          <w:spacing w:val="0"/>
          <w:kern w:val="2"/>
          <w:sz w:val="32"/>
          <w:szCs w:val="32"/>
          <w:highlight w:val="none"/>
          <w:shd w:val="clear"/>
          <w:lang w:val="en-US" w:eastAsia="zh-CN" w:bidi="ar"/>
        </w:rPr>
        <w:t>同一项目中市场主体</w:t>
      </w:r>
      <w:r>
        <w:rPr>
          <w:rFonts w:hint="eastAsia" w:eastAsia="仿宋_GB2312" w:cs="Times New Roman"/>
          <w:i w:val="0"/>
          <w:caps w:val="0"/>
          <w:color w:val="auto"/>
          <w:spacing w:val="0"/>
          <w:kern w:val="2"/>
          <w:sz w:val="32"/>
          <w:szCs w:val="32"/>
          <w:highlight w:val="none"/>
          <w:shd w:val="clear"/>
          <w:lang w:val="en-US" w:eastAsia="zh-CN" w:bidi="ar"/>
        </w:rPr>
        <w:t>或社会团体</w:t>
      </w:r>
      <w:r>
        <w:rPr>
          <w:rFonts w:ascii="Times New Roman" w:hAnsi="Times New Roman" w:eastAsia="仿宋_GB2312" w:cs="Times New Roman"/>
          <w:i w:val="0"/>
          <w:caps w:val="0"/>
          <w:color w:val="auto"/>
          <w:spacing w:val="0"/>
          <w:kern w:val="2"/>
          <w:sz w:val="32"/>
          <w:szCs w:val="32"/>
          <w:highlight w:val="none"/>
          <w:shd w:val="clear"/>
          <w:lang w:val="en-US" w:eastAsia="zh-CN" w:bidi="ar"/>
        </w:rPr>
        <w:t>获得中央、省，市（区）各级财政资金支持总额达到项目总支出的50%，</w:t>
      </w:r>
      <w:r>
        <w:rPr>
          <w:rFonts w:hint="eastAsia" w:eastAsia="仿宋_GB2312" w:cs="Times New Roman"/>
          <w:i w:val="0"/>
          <w:caps w:val="0"/>
          <w:color w:val="auto"/>
          <w:spacing w:val="0"/>
          <w:kern w:val="2"/>
          <w:sz w:val="32"/>
          <w:szCs w:val="32"/>
          <w:highlight w:val="none"/>
          <w:shd w:val="clear"/>
          <w:lang w:val="en-US" w:eastAsia="zh-CN" w:bidi="ar"/>
        </w:rPr>
        <w:t>除第七条规定情形外，原则上</w:t>
      </w:r>
      <w:r>
        <w:rPr>
          <w:rFonts w:ascii="Times New Roman" w:hAnsi="Times New Roman" w:eastAsia="仿宋_GB2312" w:cs="Times New Roman"/>
          <w:i w:val="0"/>
          <w:caps w:val="0"/>
          <w:color w:val="auto"/>
          <w:spacing w:val="0"/>
          <w:kern w:val="2"/>
          <w:sz w:val="32"/>
          <w:szCs w:val="32"/>
          <w:highlight w:val="none"/>
          <w:shd w:val="clear"/>
          <w:lang w:val="en-US" w:eastAsia="zh-CN" w:bidi="ar"/>
        </w:rPr>
        <w:t>不再予以额外的市级财政支持</w:t>
      </w:r>
      <w:r>
        <w:rPr>
          <w:rFonts w:hint="default"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w:t>
      </w:r>
      <w:r>
        <w:rPr>
          <w:rFonts w:hint="eastAsia"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eastAsia="仿宋_GB2312"/>
          <w:color w:val="auto"/>
          <w:sz w:val="32"/>
          <w:szCs w:val="32"/>
          <w:highlight w:val="none"/>
          <w:lang w:eastAsia="zh-CN"/>
        </w:rPr>
        <w:t>大型活动</w:t>
      </w:r>
      <w:r>
        <w:rPr>
          <w:rFonts w:hint="default" w:eastAsia="仿宋_GB2312"/>
          <w:color w:val="auto"/>
          <w:sz w:val="32"/>
          <w:szCs w:val="32"/>
          <w:highlight w:val="none"/>
        </w:rPr>
        <w:t>资金实行专款专用，任何部门、单位和个人不得挤占、挪用或截留，依法接受审计、监察</w:t>
      </w:r>
      <w:r>
        <w:rPr>
          <w:rFonts w:hint="eastAsia" w:eastAsia="仿宋_GB2312"/>
          <w:color w:val="auto"/>
          <w:sz w:val="32"/>
          <w:szCs w:val="32"/>
          <w:highlight w:val="none"/>
          <w:lang w:val="en-US" w:eastAsia="zh-CN"/>
        </w:rPr>
        <w:t>机关</w:t>
      </w:r>
      <w:r>
        <w:rPr>
          <w:rFonts w:hint="default" w:eastAsia="仿宋_GB2312"/>
          <w:color w:val="auto"/>
          <w:sz w:val="32"/>
          <w:szCs w:val="32"/>
          <w:highlight w:val="none"/>
        </w:rPr>
        <w:t>的监督。对以弄虚作假等手段套取骗取专项资金以及挤占挪用专项资金等各种违纪违规行为，除追回专项资金外，按《中华人民共和国预算法》《财政违法行为处罚处分条例》等规定严肃处理。</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eastAsia"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ascii="Times New Roman" w:hAnsi="Times New Roman" w:eastAsia="仿宋_GB2312" w:cs="Times New Roman"/>
          <w:i w:val="0"/>
          <w:iCs w:val="0"/>
          <w:caps w:val="0"/>
          <w:color w:val="auto"/>
          <w:spacing w:val="0"/>
          <w:sz w:val="32"/>
          <w:szCs w:val="32"/>
          <w:highlight w:val="none"/>
          <w:shd w:val="clear" w:fill="auto"/>
        </w:rPr>
        <w:t>法定机构根据市政府指令需举办无法完全市场化运作的大型活动，对政府需承担资金依程序向行业主管部门申报年度预算</w:t>
      </w:r>
      <w:r>
        <w:rPr>
          <w:rFonts w:hint="default"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shd w:val="clear" w:fill="auto"/>
          <w:lang w:val="en-US" w:eastAsia="zh-CN"/>
        </w:rPr>
      </w:pPr>
      <w:r>
        <w:rPr>
          <w:rFonts w:hint="eastAsia" w:eastAsia="仿宋_GB2312" w:cs="Times New Roman"/>
          <w:b/>
          <w:bCs/>
          <w:color w:val="auto"/>
          <w:sz w:val="32"/>
          <w:szCs w:val="32"/>
          <w:highlight w:val="none"/>
          <w:lang w:val="en-US" w:eastAsia="zh-CN"/>
        </w:rPr>
        <w:t xml:space="preserve">第十三条 </w:t>
      </w:r>
      <w:r>
        <w:rPr>
          <w:rFonts w:hint="default" w:ascii="Times New Roman" w:hAnsi="Times New Roman" w:eastAsia="仿宋_GB2312" w:cs="Times New Roman"/>
          <w:color w:val="auto"/>
          <w:sz w:val="32"/>
          <w:szCs w:val="32"/>
          <w:highlight w:val="none"/>
          <w:shd w:val="clear" w:fill="auto"/>
          <w:lang w:eastAsia="zh-CN"/>
        </w:rPr>
        <w:t>本办法具体应用问题由市财政主管部门</w:t>
      </w:r>
      <w:r>
        <w:rPr>
          <w:rFonts w:hint="eastAsia" w:eastAsia="仿宋_GB2312" w:cs="Times New Roman"/>
          <w:color w:val="auto"/>
          <w:sz w:val="32"/>
          <w:szCs w:val="32"/>
          <w:highlight w:val="none"/>
          <w:shd w:val="clear" w:fill="auto"/>
          <w:lang w:val="en-US" w:eastAsia="zh-CN"/>
        </w:rPr>
        <w:t>会同</w:t>
      </w:r>
      <w:r>
        <w:rPr>
          <w:rFonts w:hint="default" w:ascii="Times New Roman" w:hAnsi="Times New Roman" w:eastAsia="仿宋_GB2312" w:cs="Times New Roman"/>
          <w:color w:val="auto"/>
          <w:sz w:val="32"/>
          <w:szCs w:val="32"/>
          <w:highlight w:val="none"/>
          <w:shd w:val="clear" w:fill="auto"/>
          <w:lang w:eastAsia="zh-CN"/>
        </w:rPr>
        <w:t>市旅游文化体育主管部门负责解释</w:t>
      </w:r>
      <w:r>
        <w:rPr>
          <w:rFonts w:hint="default" w:ascii="Times New Roman" w:hAnsi="Times New Roman" w:eastAsia="仿宋_GB2312" w:cs="Times New Roman"/>
          <w:color w:val="auto"/>
          <w:sz w:val="32"/>
          <w:szCs w:val="32"/>
          <w:highlight w:val="none"/>
          <w:shd w:val="clear" w:fill="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21" w:firstLineChars="1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eastAsia"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本办法自2024年9月6日起实施，有效期至2029年9月5日。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p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p>
    <w:p>
      <w:p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附件：三亚市</w:t>
      </w:r>
      <w:r>
        <w:rPr>
          <w:rFonts w:hint="default" w:eastAsia="仿宋_GB2312" w:cs="Times New Roman"/>
          <w:color w:val="auto"/>
          <w:sz w:val="32"/>
          <w:szCs w:val="32"/>
          <w:highlight w:val="none"/>
          <w:lang w:val="en-US" w:eastAsia="zh-CN"/>
        </w:rPr>
        <w:t>大型活动资金</w:t>
      </w:r>
      <w:r>
        <w:rPr>
          <w:rFonts w:hint="default" w:ascii="Times New Roman" w:hAnsi="Times New Roman" w:eastAsia="仿宋_GB2312" w:cs="Times New Roman"/>
          <w:color w:val="auto"/>
          <w:sz w:val="32"/>
          <w:szCs w:val="32"/>
          <w:highlight w:val="none"/>
          <w:lang w:val="en-US" w:eastAsia="zh-CN"/>
        </w:rPr>
        <w:t>项目绩效评价标准表</w:t>
      </w:r>
    </w:p>
    <w:p>
      <w:pPr>
        <w:spacing w:line="240" w:lineRule="auto"/>
        <w:rPr>
          <w:rFonts w:hint="default" w:ascii="Times New Roman" w:hAnsi="Times New Roman" w:eastAsia="黑体" w:cs="Times New Roman"/>
          <w:b w:val="0"/>
          <w:bCs w:val="0"/>
          <w:color w:val="auto"/>
          <w:sz w:val="32"/>
          <w:szCs w:val="32"/>
          <w:highlight w:val="none"/>
          <w:lang w:val="en-US" w:eastAsia="zh-CN"/>
        </w:rPr>
        <w:sectPr>
          <w:pgSz w:w="11906" w:h="16838"/>
          <w:pgMar w:top="1417" w:right="1474" w:bottom="1417" w:left="1587" w:header="851" w:footer="992" w:gutter="0"/>
          <w:pgNumType w:fmt="decimal"/>
          <w:cols w:space="0" w:num="1"/>
          <w:rtlGutter w:val="0"/>
          <w:docGrid w:type="lines" w:linePitch="315" w:charSpace="0"/>
        </w:sectPr>
      </w:pPr>
      <w:r>
        <w:rPr>
          <w:rFonts w:hint="default" w:ascii="Times New Roman" w:hAnsi="Times New Roman" w:eastAsia="黑体" w:cs="Times New Roman"/>
          <w:b w:val="0"/>
          <w:bCs w:val="0"/>
          <w:color w:val="auto"/>
          <w:sz w:val="32"/>
          <w:szCs w:val="32"/>
          <w:highlight w:val="none"/>
          <w:lang w:val="en-US" w:eastAsia="zh-CN"/>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51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10" w:lineRule="exact"/>
        <w:ind w:right="0" w:rightChars="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right="0" w:rightChars="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三亚市大型活动资金项目绩效评价标准表</w:t>
      </w:r>
    </w:p>
    <w:tbl>
      <w:tblPr>
        <w:tblStyle w:val="10"/>
        <w:tblW w:w="13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655"/>
        <w:gridCol w:w="1656"/>
        <w:gridCol w:w="1281"/>
        <w:gridCol w:w="1184"/>
        <w:gridCol w:w="1172"/>
        <w:gridCol w:w="1536"/>
        <w:gridCol w:w="1296"/>
        <w:gridCol w:w="129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trPr>
        <w:tc>
          <w:tcPr>
            <w:tcW w:w="165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一级指标</w:t>
            </w:r>
          </w:p>
        </w:tc>
        <w:tc>
          <w:tcPr>
            <w:tcW w:w="165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二级指标</w:t>
            </w:r>
          </w:p>
        </w:tc>
        <w:tc>
          <w:tcPr>
            <w:tcW w:w="165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三级指标</w:t>
            </w:r>
          </w:p>
        </w:tc>
        <w:tc>
          <w:tcPr>
            <w:tcW w:w="128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权重分值</w:t>
            </w:r>
          </w:p>
        </w:tc>
        <w:tc>
          <w:tcPr>
            <w:tcW w:w="7691" w:type="dxa"/>
            <w:gridSpan w:val="6"/>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65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1.经济效益</w:t>
            </w:r>
          </w:p>
        </w:tc>
        <w:tc>
          <w:tcPr>
            <w:tcW w:w="1655" w:type="dxa"/>
            <w:vMerge w:val="restart"/>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旅游产业经济带动成效</w:t>
            </w: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对三亚产生的直接经济效益</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0—10分：</w:t>
            </w:r>
            <w:r>
              <w:rPr>
                <w:rFonts w:hint="eastAsia" w:ascii="宋体" w:hAnsi="宋体" w:eastAsia="宋体" w:cs="宋体"/>
                <w:i w:val="0"/>
                <w:color w:val="auto"/>
                <w:kern w:val="0"/>
                <w:sz w:val="24"/>
                <w:szCs w:val="24"/>
                <w:highlight w:val="none"/>
                <w:u w:val="none"/>
                <w:lang w:val="en-US" w:eastAsia="zh-CN" w:bidi="ar"/>
              </w:rPr>
              <w:t>直接经济效益/活动总支出，按实际计算结果赋分</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10分：≥</w:t>
            </w:r>
            <w:r>
              <w:rPr>
                <w:rFonts w:hint="eastAsia" w:ascii="宋体" w:hAnsi="宋体" w:cs="宋体"/>
                <w:i w:val="0"/>
                <w:color w:val="auto"/>
                <w:kern w:val="0"/>
                <w:sz w:val="24"/>
                <w:szCs w:val="24"/>
                <w:highlight w:val="none"/>
                <w:u w:val="none"/>
                <w:lang w:val="en-US" w:eastAsia="zh-CN" w:bidi="ar"/>
              </w:rPr>
              <w:t>5</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9分：≥</w:t>
            </w:r>
            <w:r>
              <w:rPr>
                <w:rFonts w:hint="eastAsia" w:ascii="宋体" w:hAnsi="宋体" w:cs="宋体"/>
                <w:i w:val="0"/>
                <w:color w:val="auto"/>
                <w:kern w:val="0"/>
                <w:sz w:val="24"/>
                <w:szCs w:val="24"/>
                <w:highlight w:val="none"/>
                <w:u w:val="none"/>
                <w:lang w:val="en-US" w:eastAsia="zh-CN" w:bidi="ar"/>
              </w:rPr>
              <w:t>4</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8分：≥</w:t>
            </w:r>
            <w:r>
              <w:rPr>
                <w:rFonts w:hint="eastAsia" w:ascii="宋体" w:hAnsi="宋体" w:cs="宋体"/>
                <w:i w:val="0"/>
                <w:color w:val="auto"/>
                <w:kern w:val="0"/>
                <w:sz w:val="24"/>
                <w:szCs w:val="24"/>
                <w:highlight w:val="none"/>
                <w:u w:val="none"/>
                <w:lang w:val="en-US" w:eastAsia="zh-CN" w:bidi="ar"/>
              </w:rPr>
              <w:t>3</w:t>
            </w:r>
          </w:p>
          <w:p>
            <w:pPr>
              <w:keepNext w:val="0"/>
              <w:keepLines w:val="0"/>
              <w:widowControl/>
              <w:suppressLineNumbers w:val="0"/>
              <w:tabs>
                <w:tab w:val="left" w:pos="1565"/>
              </w:tabs>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7分：≥</w:t>
            </w:r>
            <w:r>
              <w:rPr>
                <w:rFonts w:hint="eastAsia" w:ascii="宋体" w:hAnsi="宋体" w:cs="宋体"/>
                <w:i w:val="0"/>
                <w:color w:val="auto"/>
                <w:kern w:val="0"/>
                <w:sz w:val="24"/>
                <w:szCs w:val="24"/>
                <w:highlight w:val="none"/>
                <w:u w:val="none"/>
                <w:lang w:val="en-US" w:eastAsia="zh-CN" w:bidi="ar"/>
              </w:rPr>
              <w:t>2</w:t>
            </w:r>
            <w:r>
              <w:rPr>
                <w:rFonts w:hint="eastAsia" w:ascii="宋体" w:hAnsi="宋体" w:cs="宋体"/>
                <w:i w:val="0"/>
                <w:color w:val="auto"/>
                <w:kern w:val="0"/>
                <w:sz w:val="24"/>
                <w:szCs w:val="24"/>
                <w:highlight w:val="none"/>
                <w:u w:val="none"/>
                <w:lang w:val="en-US" w:eastAsia="zh-CN" w:bidi="ar"/>
              </w:rPr>
              <w:tab/>
            </w:r>
          </w:p>
          <w:p>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w:t>
            </w:r>
            <w:r>
              <w:rPr>
                <w:rFonts w:hint="eastAsia" w:ascii="宋体" w:hAnsi="宋体" w:cs="宋体"/>
                <w:i w:val="0"/>
                <w:color w:val="auto"/>
                <w:kern w:val="0"/>
                <w:sz w:val="24"/>
                <w:szCs w:val="24"/>
                <w:highlight w:val="none"/>
                <w:u w:val="none"/>
                <w:lang w:val="en-US" w:eastAsia="zh-CN" w:bidi="ar"/>
              </w:rPr>
              <w:t>1.2</w:t>
            </w:r>
          </w:p>
          <w:p>
            <w:pPr>
              <w:widowControl/>
              <w:jc w:val="left"/>
              <w:textAlignment w:val="center"/>
              <w:rPr>
                <w:rFonts w:hint="default"/>
                <w:color w:val="auto"/>
                <w:lang w:val="en-US" w:eastAsia="zh-CN"/>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left"/>
              <w:rPr>
                <w:rFonts w:hint="eastAsia" w:ascii="宋体" w:hAnsi="宋体" w:eastAsia="宋体" w:cs="宋体"/>
                <w:b/>
                <w:i w:val="0"/>
                <w:color w:val="auto"/>
                <w:kern w:val="0"/>
                <w:sz w:val="24"/>
                <w:szCs w:val="24"/>
                <w:highlight w:val="none"/>
                <w:u w:val="none"/>
                <w:lang w:val="en-US" w:eastAsia="zh-CN" w:bidi="ar"/>
              </w:rPr>
            </w:pP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对三亚产生的间接经济效益</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0-10分：间接经济效益/活动总支出，按实际计算结果赋分。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10分：≥</w:t>
            </w:r>
            <w:r>
              <w:rPr>
                <w:rFonts w:hint="eastAsia" w:ascii="宋体" w:hAnsi="宋体" w:cs="宋体"/>
                <w:i w:val="0"/>
                <w:color w:val="auto"/>
                <w:kern w:val="0"/>
                <w:sz w:val="24"/>
                <w:szCs w:val="24"/>
                <w:highlight w:val="none"/>
                <w:u w:val="none"/>
                <w:lang w:val="en-US" w:eastAsia="zh-CN" w:bidi="ar"/>
              </w:rPr>
              <w:t>13</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9分：≥</w:t>
            </w:r>
            <w:r>
              <w:rPr>
                <w:rFonts w:hint="eastAsia" w:ascii="宋体" w:hAnsi="宋体" w:cs="宋体"/>
                <w:i w:val="0"/>
                <w:color w:val="auto"/>
                <w:kern w:val="0"/>
                <w:sz w:val="24"/>
                <w:szCs w:val="24"/>
                <w:highlight w:val="none"/>
                <w:u w:val="none"/>
                <w:lang w:val="en-US" w:eastAsia="zh-CN" w:bidi="ar"/>
              </w:rPr>
              <w:t>11</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8分：≥</w:t>
            </w:r>
            <w:r>
              <w:rPr>
                <w:rFonts w:hint="eastAsia" w:ascii="宋体" w:hAnsi="宋体" w:cs="宋体"/>
                <w:i w:val="0"/>
                <w:color w:val="auto"/>
                <w:kern w:val="0"/>
                <w:sz w:val="24"/>
                <w:szCs w:val="24"/>
                <w:highlight w:val="none"/>
                <w:u w:val="none"/>
                <w:lang w:val="en-US" w:eastAsia="zh-CN" w:bidi="ar"/>
              </w:rPr>
              <w:t>9</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7分：≥</w:t>
            </w:r>
            <w:r>
              <w:rPr>
                <w:rFonts w:hint="eastAsia" w:ascii="宋体" w:hAnsi="宋体" w:cs="宋体"/>
                <w:i w:val="0"/>
                <w:color w:val="auto"/>
                <w:kern w:val="0"/>
                <w:sz w:val="24"/>
                <w:szCs w:val="24"/>
                <w:highlight w:val="none"/>
                <w:u w:val="none"/>
                <w:lang w:val="en-US" w:eastAsia="zh-CN" w:bidi="ar"/>
              </w:rPr>
              <w:t>7</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6分：≥5</w:t>
            </w: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left"/>
              <w:rPr>
                <w:rFonts w:hint="eastAsia" w:ascii="宋体" w:hAnsi="宋体" w:eastAsia="宋体" w:cs="宋体"/>
                <w:b/>
                <w:i w:val="0"/>
                <w:color w:val="auto"/>
                <w:kern w:val="0"/>
                <w:sz w:val="24"/>
                <w:szCs w:val="24"/>
                <w:highlight w:val="none"/>
                <w:u w:val="none"/>
                <w:lang w:val="en-US" w:eastAsia="zh-CN" w:bidi="ar"/>
              </w:rPr>
            </w:pP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活动参与人群对三亚经营性住宿场所入住率的贡献程度</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0-5分：活动参与人群入住三亚经营性住宿设施总人次/当月全市经营性住宿入住总人次，按计算结果赋分。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w:t>
            </w:r>
            <w:r>
              <w:rPr>
                <w:rFonts w:hint="eastAsia" w:ascii="宋体" w:hAnsi="宋体" w:cs="宋体"/>
                <w:i w:val="0"/>
                <w:color w:val="auto"/>
                <w:kern w:val="0"/>
                <w:sz w:val="24"/>
                <w:szCs w:val="24"/>
                <w:highlight w:val="none"/>
                <w:u w:val="none"/>
                <w:lang w:val="en-US" w:eastAsia="zh-CN" w:bidi="ar"/>
              </w:rPr>
              <w:t>1.5</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w:t>
            </w:r>
            <w:r>
              <w:rPr>
                <w:rFonts w:hint="eastAsia" w:ascii="宋体" w:hAnsi="宋体" w:cs="宋体"/>
                <w:i w:val="0"/>
                <w:color w:val="auto"/>
                <w:kern w:val="0"/>
                <w:sz w:val="24"/>
                <w:szCs w:val="24"/>
                <w:highlight w:val="none"/>
                <w:u w:val="none"/>
                <w:lang w:val="en-US" w:eastAsia="zh-CN" w:bidi="ar"/>
              </w:rPr>
              <w:t>1.1</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w:t>
            </w:r>
            <w:r>
              <w:rPr>
                <w:rFonts w:hint="eastAsia" w:ascii="宋体" w:hAnsi="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8</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2分：≥0.</w:t>
            </w:r>
            <w:r>
              <w:rPr>
                <w:rFonts w:hint="eastAsia" w:ascii="宋体" w:hAnsi="宋体" w:cs="宋体"/>
                <w:i w:val="0"/>
                <w:color w:val="auto"/>
                <w:kern w:val="0"/>
                <w:sz w:val="24"/>
                <w:szCs w:val="24"/>
                <w:highlight w:val="none"/>
                <w:u w:val="none"/>
                <w:lang w:val="en-US" w:eastAsia="zh-CN" w:bidi="ar"/>
              </w:rPr>
              <w:t>5</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1分：≥0.</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p>
            <w:pPr>
              <w:keepNext w:val="0"/>
              <w:keepLines w:val="0"/>
              <w:widowControl/>
              <w:suppressLineNumbers w:val="0"/>
              <w:jc w:val="left"/>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活动参与人群包括直接报名人员、嘉宾、亲友团、工作人员、现场观众（售票、入场券、入口闸机等方式统计）；单人入住次数按天叠加统计。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活动市场化运作效果</w:t>
            </w: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活动营收情况</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0-5分：通过对比活动申报项目营收计划的完成情况按比例赋分。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5分：实现活动预期营收计划达到90%。</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4分：实现活动预期营收计划达到80%。</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3分：实现活动预期营收计划达到60%。</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2分：实现活动预期营收计划达到50%。</w:t>
            </w: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1.小计</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7691" w:type="dxa"/>
            <w:gridSpan w:val="6"/>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trPr>
        <w:tc>
          <w:tcPr>
            <w:tcW w:w="165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2.社会效益</w:t>
            </w:r>
          </w:p>
        </w:tc>
        <w:tc>
          <w:tcPr>
            <w:tcW w:w="1655"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本土品牌活动培育</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0-5分：符合三亚现阶段重点文旅体产业发展方向的高端品牌活动，综合赋分。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*具体活动范围以三亚</w:t>
            </w:r>
            <w:r>
              <w:rPr>
                <w:rFonts w:hint="eastAsia" w:ascii="宋体" w:hAnsi="宋体" w:cs="宋体"/>
                <w:i w:val="0"/>
                <w:color w:val="auto"/>
                <w:kern w:val="0"/>
                <w:sz w:val="24"/>
                <w:szCs w:val="24"/>
                <w:highlight w:val="none"/>
                <w:u w:val="none"/>
                <w:lang w:val="en-US" w:eastAsia="zh-CN" w:bidi="ar"/>
              </w:rPr>
              <w:t>市旅游文化体育主管部门</w:t>
            </w:r>
            <w:r>
              <w:rPr>
                <w:rFonts w:hint="eastAsia" w:ascii="宋体" w:hAnsi="宋体" w:eastAsia="宋体" w:cs="宋体"/>
                <w:i w:val="0"/>
                <w:color w:val="auto"/>
                <w:kern w:val="0"/>
                <w:sz w:val="24"/>
                <w:szCs w:val="24"/>
                <w:highlight w:val="none"/>
                <w:u w:val="none"/>
                <w:lang w:val="en-US" w:eastAsia="zh-CN" w:bidi="ar"/>
              </w:rPr>
              <w:t>每年发布的项目申报指南为参考依据。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促进旅游季节性平衡</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0-5分：鼓励在三亚旅游淡季或全年活动最不密集时段举办，视情赋分。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2.小计</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10</w:t>
            </w:r>
          </w:p>
        </w:tc>
        <w:tc>
          <w:tcPr>
            <w:tcW w:w="7691" w:type="dxa"/>
            <w:gridSpan w:val="6"/>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3.活动规模</w:t>
            </w:r>
          </w:p>
        </w:tc>
        <w:tc>
          <w:tcPr>
            <w:tcW w:w="1655"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活动参与情况</w:t>
            </w:r>
          </w:p>
        </w:tc>
        <w:tc>
          <w:tcPr>
            <w:tcW w:w="1656"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平均单场次人数</w:t>
            </w:r>
          </w:p>
        </w:tc>
        <w:tc>
          <w:tcPr>
            <w:tcW w:w="128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118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人数（人）</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10000及以上</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5000-9999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3000-4999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1000-2999</w:t>
            </w:r>
          </w:p>
        </w:tc>
        <w:tc>
          <w:tcPr>
            <w:tcW w:w="1207"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18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得分</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8</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207"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指线下平均单场次人数，包括出席的嘉宾、参展商、选手、媒体、工作人员、现场观众。受不可抗力因素影响，则线上直接参与的境外嘉宾也纳入指标。人数统计根据交通住宿凭证、联系电话、签到表、售票预约平台的数据后台截图、回收票根、场地红外线扫描设备后台数据、多点位抽样调查结果、行政报批文件等相互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*日常经营的自然客流不计入。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*若线下有境外人数，则按线下境外人数占比提升分数，加至满分为止。例如平均单场次人数为500人，境外参与人数占比30%，则分数为2*（1+30%）=2.6分。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累计总人数</w:t>
            </w:r>
          </w:p>
        </w:tc>
        <w:tc>
          <w:tcPr>
            <w:tcW w:w="128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118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人数（人）</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20000及以上</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10000-19999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6000-9999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2000-5999</w:t>
            </w:r>
          </w:p>
        </w:tc>
        <w:tc>
          <w:tcPr>
            <w:tcW w:w="1207"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18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得分</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8</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207"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*指各场次人数总和，统计标准同单场次人数。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知名嘉宾</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5分：邀请高端嘉宾深度参与活动。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3分：邀请顶尖专家深度参与活动，或邀请国际知名演艺人员参与活动。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1分：邀请国内知名嘉宾参与活动，或邀请国内知名演艺人员参与活动。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*高端嘉宾：境内外国家（地区）副部级及以上现任官员；诺贝尔奖获得者、两院院士、长江学者；世界500强全球副总裁及以上人员；世界大学排名前50大学（上一年度QS、TIMES排行榜）。</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*顶尖专家：满足《海南自由贸易港高层次人才分类标准》专业领域关于A类和B类人才认定相关标准。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活动举办级别</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5分：国际性知名品牌活动或赛事，或主办单位为国际性组织。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4分：全国性知名品牌活动或赛事，或主办单位为国家级行业协会学会、世界500强企业。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3分：区域性知名品牌活动或赛事，或主办单位为中国500强、中国行业20强企业。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2分：省级知名品牌活动或赛事，或主办单位为省级组织、省级100强企业。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1分：市级知名品牌活动或赛事，或市级单位为市级组织、市级100强企业。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*国际性组织：纳入《国际组织年鉴》中的国际性政府间组织和非政府组织。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*国家级行业协会或学会：在国务院民政管理部门登记备案，并接受年度检查的社会法人团体。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3.小计</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7691" w:type="dxa"/>
            <w:gridSpan w:val="6"/>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1655" w:type="dxa"/>
            <w:vMerge w:val="restart"/>
            <w:vAlign w:val="center"/>
          </w:tcPr>
          <w:p>
            <w:pPr>
              <w:jc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4.活动影响力</w:t>
            </w:r>
          </w:p>
        </w:tc>
        <w:tc>
          <w:tcPr>
            <w:tcW w:w="1655"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品牌影响力与可持续性</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举办届数</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5分：举办超过15届；或在三亚已举办超过10届；或知名商业品牌活动在三亚首次举办，并协议连续举办三年及以上。</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3分：举办超过10届；或在三亚已举办超过5届；或知名商业品牌活动在三亚举办，并协议连续举办三年及以上。</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1分：举办超过5届；或在三亚已举办超过3届；或知名商业品牌活动在三亚举办，并协议连续举办两年及以上。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活动热度</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3分：活动在新媒体等登上热搜榜前50，累计在榜时长≥12小时。</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2分：活动在新媒体等登上热搜榜前50，累计在榜时长≥6小时。</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1分：活动在新媒体等登上热搜榜前50，累计在榜时长≥1小时。</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媒体平台包含微信、微博、抖音、今日头条、小红书、Bilibili、Instagram、Facebook、Twitter、Tiktok、YouTube等社交、视频、新闻资讯等主流新媒体平台。境内新媒体满足一个平台标准即可，同平台不累计，历史数据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媒体宣传推广情况</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新闻媒体发稿情况</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6分：境内新闻媒体发稿总量300条及以上，其中：央媒发稿量20条及以上，境外新闻媒体发稿量10条及以上。</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5分：境内新闻媒体发稿总量200-299条，其中：央媒发稿量11-19条，境外新闻媒体发稿量4-9条。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4分：境内新闻媒体发稿总量100-199条，其中：央媒发稿量6-10条，境外新闻媒体发稿量2-3条。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3分：境内新闻媒体发稿总量50-99条，其中，央媒发稿量3-5条，境外新闻媒体发稿量1条。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2分：境内新闻媒体发稿总量10-20条，其中，央媒发稿量1-2条。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1分：境内新闻媒体发稿总量3-9条。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*央媒：包括中央重点新闻网站和央媒驻地方媒体。</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*境外新闻媒体：包括中国港澳台地区新闻媒体、外国新闻媒体。</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*媒体分类参考国家网信办《互联网新闻信息稿源单位名单》：https://mp.weixin.qq.com/s/mt5vdeH6f-wLpDpJsM0NOg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新媒体原创内容累计阅读播放量</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单个平台原创内容（文字、图片、视频）累计阅读量/播放量满足：</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6分：微博阅读达600万+或今日头条阅读达600万＋或微信阅读达600万+或其他新媒体阅读量/播放量达600万+。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5分：微博阅读达400万+或今日头条阅读达400万＋或微信阅读达400万+或其他新媒体阅读量/播放量达400万+。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4分：微博阅读达200万+或今日头条阅读达200万＋或微信阅读达200万+或其他新媒体阅读量/播放量达200万+。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3分：微博阅读达100万+或今日头条阅读达100万＋或微信阅读达100万+或其他新媒体阅读量/播放量达100万+。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2分：微博阅读达50万+或今日头条阅读达50万＋或微信阅读达50万+或其他新媒体阅读量/播放量达50万+。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1分：微博阅读达30万+或今日头条阅读达30万＋或微信阅读达30万+或其他新媒体阅读量/播放量达30万+。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*新媒体平台包含微信、微博、抖音、今日头条、小红书、Bilibili、Instagram、Facebook、Twitter、Tiktok、YouTube等社交、视频、新闻资讯等主流新媒体平台。</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*上述条件满足一个平台标准即可，同平台不累计，历史数据不计入。</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*下文“优质视频切片数量”“视频点赞转发量”关于新媒体平台的定义及满足条件同理。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优质视频切片数量</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单条活动原创视频切片、直播切片满足：</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5分：在抖音有8个视频点赞量1万+或快手有8个视频点赞量1万+或Bilibili（b站）有8个视频点赞量1万+或其他新媒体有8个视频点赞量1万+。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4分：在抖音有6个视频点赞量1万+或快手有6个视频点赞量1万+或Bilibili（b站）有6个视频点赞量1万+或其他新媒体有6个视频点赞量1万+。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3分：在抖音有4个视频点赞量1万+或快手有4个视频点赞量1万+或Bilibili（b站）有4个视频点赞量1万+或其他新媒体有4个视频点赞量1万+。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2分：在抖音有2个视频点赞量1万+或快手有2个视频点赞量1万+或Bilibili（b站）有2个视频点赞量1万+或其他新媒体有2个视频点赞量1万+。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1分：在抖音有1个视频点赞量1万+或快手有1个视频点赞量1万+或Bilibili（b站）有1个视频点赞量1万+或其他新媒体有1个视频点赞量1万+。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视频点赞转发量</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单个平台原创内容（文字、图片、视频）累计点赞量及转发量满足：</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5分：微博点赞100万+，转发量20万+或抖音点赞100万+，转发量20万+或其他新媒体点赞量100万+，转发量20万+。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4分：微博点赞80万+，转发量16万+或抖音点赞80万+，转发量16万+或其他新媒体点赞量80万+，转发量16万+。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3分：微博点赞60万+，转发量12万+或抖音点赞60万+，转发量12万+或其他新媒体点赞量60万+，转发量12万+。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2分：微博点赞30万+，转发量6万+或抖音点赞30万+，转发量6万+或其他新媒体点赞量30万+，转发量6万+。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1分：微博点赞15万+，转发量3万+或抖音点赞15万+，转发量3万+或其他新媒体点赞量15万+，转发量3万+。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4.小计</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7691" w:type="dxa"/>
            <w:gridSpan w:val="6"/>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3310" w:type="dxa"/>
            <w:gridSpan w:val="2"/>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5.正向附加分</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促进招商引资</w:t>
            </w:r>
          </w:p>
        </w:tc>
        <w:tc>
          <w:tcPr>
            <w:tcW w:w="128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default" w:ascii="Arial" w:hAnsi="Arial" w:eastAsia="宋体" w:cs="Aria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20分</w:t>
            </w: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因活动引进和举办，当年新增旅游文体关联领域登记注册企业，每新增纳税主体1家附加5分。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*根据申报单位提供的注册的新营业执照。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促进旅文体公共服务基础设施完善</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因活动引进和举办，促进我市旅游文体公共服务设施每新增或升级一处附加5分。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*根据申报单位提供设施新建或升级的立项证明或完工证明。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其他促进封关运作后自贸港建设的事项</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*根据活动对封关运作后对三亚建设海南自由贸易港、海南国际旅游消费中心核心区等有关战略目标有重大正面影响力的实际情况，酌情评判加分。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6.负向及红线指标</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违法违规</w:t>
            </w:r>
          </w:p>
        </w:tc>
        <w:tc>
          <w:tcPr>
            <w:tcW w:w="128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default" w:ascii="Arial" w:hAnsi="Arial" w:eastAsia="宋体" w:cs="Aria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-100分</w:t>
            </w:r>
          </w:p>
        </w:tc>
        <w:tc>
          <w:tcPr>
            <w:tcW w:w="7691" w:type="dxa"/>
            <w:gridSpan w:val="6"/>
            <w:vMerge w:val="restart"/>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*根据事态严重性、处理应对结果进行评判扣分。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安全事故</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群众投诉</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意识形态错误</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cs="宋体"/>
                <w:i w:val="0"/>
                <w:color w:val="auto"/>
                <w:kern w:val="0"/>
                <w:sz w:val="24"/>
                <w:szCs w:val="24"/>
                <w:highlight w:val="none"/>
                <w:u w:val="none"/>
                <w:lang w:val="en-US" w:eastAsia="zh-CN" w:bidi="ar"/>
              </w:rPr>
              <w:t>破坏</w:t>
            </w:r>
            <w:r>
              <w:rPr>
                <w:rFonts w:hint="eastAsia" w:ascii="宋体" w:hAnsi="宋体" w:eastAsia="宋体" w:cs="宋体"/>
                <w:i w:val="0"/>
                <w:color w:val="auto"/>
                <w:kern w:val="0"/>
                <w:sz w:val="24"/>
                <w:szCs w:val="24"/>
                <w:highlight w:val="none"/>
                <w:u w:val="none"/>
                <w:lang w:val="en-US" w:eastAsia="zh-CN" w:bidi="ar"/>
              </w:rPr>
              <w:t>生态环境</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jc w:val="center"/>
              <w:rPr>
                <w:color w:val="auto"/>
                <w:highlight w:val="none"/>
              </w:rPr>
            </w:pPr>
          </w:p>
        </w:tc>
        <w:tc>
          <w:tcPr>
            <w:tcW w:w="1656" w:type="dxa"/>
            <w:vAlign w:val="center"/>
          </w:tcPr>
          <w:p>
            <w:pPr>
              <w:jc w:val="center"/>
              <w:rPr>
                <w:color w:val="auto"/>
                <w:highlight w:val="none"/>
              </w:rPr>
            </w:pPr>
          </w:p>
        </w:tc>
        <w:tc>
          <w:tcPr>
            <w:tcW w:w="1281"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184"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172"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53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29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29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207"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合计</w:t>
            </w:r>
          </w:p>
        </w:tc>
        <w:tc>
          <w:tcPr>
            <w:tcW w:w="128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100</w:t>
            </w:r>
          </w:p>
        </w:tc>
        <w:tc>
          <w:tcPr>
            <w:tcW w:w="7691" w:type="dxa"/>
            <w:gridSpan w:val="6"/>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bl>
    <w:p>
      <w:pPr>
        <w:pStyle w:val="2"/>
        <w:rPr>
          <w:rFonts w:hint="default"/>
          <w:color w:val="auto"/>
          <w:highlight w:val="none"/>
          <w:lang w:val="en-US" w:eastAsia="zh-CN"/>
        </w:rPr>
      </w:pPr>
    </w:p>
    <w:sectPr>
      <w:pgSz w:w="16783" w:h="23757"/>
      <w:pgMar w:top="1417" w:right="1474" w:bottom="141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font-weight : 400">
    <w:altName w:val="Arial Unicode MS"/>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56D87B1F"/>
    <w:rsid w:val="001A7969"/>
    <w:rsid w:val="00366491"/>
    <w:rsid w:val="00382DEE"/>
    <w:rsid w:val="0042792B"/>
    <w:rsid w:val="00662264"/>
    <w:rsid w:val="00811067"/>
    <w:rsid w:val="014337F8"/>
    <w:rsid w:val="0193268C"/>
    <w:rsid w:val="01CA5480"/>
    <w:rsid w:val="01CC35D1"/>
    <w:rsid w:val="02377801"/>
    <w:rsid w:val="02675628"/>
    <w:rsid w:val="02E903CF"/>
    <w:rsid w:val="0330769D"/>
    <w:rsid w:val="03777F08"/>
    <w:rsid w:val="0385634A"/>
    <w:rsid w:val="03957EC1"/>
    <w:rsid w:val="03B922E9"/>
    <w:rsid w:val="03F76759"/>
    <w:rsid w:val="0433224A"/>
    <w:rsid w:val="047C0850"/>
    <w:rsid w:val="0521167B"/>
    <w:rsid w:val="054B5C64"/>
    <w:rsid w:val="056326BB"/>
    <w:rsid w:val="05774056"/>
    <w:rsid w:val="05F11A75"/>
    <w:rsid w:val="06006999"/>
    <w:rsid w:val="061B11E8"/>
    <w:rsid w:val="06CA1A5D"/>
    <w:rsid w:val="06E71D37"/>
    <w:rsid w:val="07504EC1"/>
    <w:rsid w:val="07505B8A"/>
    <w:rsid w:val="086A0535"/>
    <w:rsid w:val="088648AE"/>
    <w:rsid w:val="089805D5"/>
    <w:rsid w:val="08E049BC"/>
    <w:rsid w:val="09811362"/>
    <w:rsid w:val="09A45035"/>
    <w:rsid w:val="09D276E2"/>
    <w:rsid w:val="09FE29B2"/>
    <w:rsid w:val="0A552520"/>
    <w:rsid w:val="0A55285C"/>
    <w:rsid w:val="0AD12D78"/>
    <w:rsid w:val="0ADA51CD"/>
    <w:rsid w:val="0B7F1085"/>
    <w:rsid w:val="0B826015"/>
    <w:rsid w:val="0C665D6D"/>
    <w:rsid w:val="0C923562"/>
    <w:rsid w:val="0CA75972"/>
    <w:rsid w:val="0CAF7855"/>
    <w:rsid w:val="0CD86119"/>
    <w:rsid w:val="0D41283F"/>
    <w:rsid w:val="0D4F61B9"/>
    <w:rsid w:val="0D5A0848"/>
    <w:rsid w:val="0D6270C2"/>
    <w:rsid w:val="0D6E42F3"/>
    <w:rsid w:val="0D7C07BE"/>
    <w:rsid w:val="0DA038B3"/>
    <w:rsid w:val="0EBD49D2"/>
    <w:rsid w:val="0EC66ABD"/>
    <w:rsid w:val="0ED95707"/>
    <w:rsid w:val="0EE7435D"/>
    <w:rsid w:val="0F3C68A1"/>
    <w:rsid w:val="0F784FB5"/>
    <w:rsid w:val="0FC65D20"/>
    <w:rsid w:val="0FF6114A"/>
    <w:rsid w:val="101A2BA5"/>
    <w:rsid w:val="10574DEB"/>
    <w:rsid w:val="1066305F"/>
    <w:rsid w:val="11141F7D"/>
    <w:rsid w:val="113C2D37"/>
    <w:rsid w:val="11804CE9"/>
    <w:rsid w:val="11BA1147"/>
    <w:rsid w:val="11DD55A3"/>
    <w:rsid w:val="12853CE2"/>
    <w:rsid w:val="13152F7E"/>
    <w:rsid w:val="131D78BE"/>
    <w:rsid w:val="134E49AB"/>
    <w:rsid w:val="137013F3"/>
    <w:rsid w:val="1378752A"/>
    <w:rsid w:val="13B566D0"/>
    <w:rsid w:val="13BE6A17"/>
    <w:rsid w:val="13DC1FB6"/>
    <w:rsid w:val="13E83CFB"/>
    <w:rsid w:val="13F99A00"/>
    <w:rsid w:val="14310433"/>
    <w:rsid w:val="14406B2B"/>
    <w:rsid w:val="14971EBE"/>
    <w:rsid w:val="14DC1A75"/>
    <w:rsid w:val="15D679CF"/>
    <w:rsid w:val="1626576B"/>
    <w:rsid w:val="16677B31"/>
    <w:rsid w:val="16D50F3F"/>
    <w:rsid w:val="179A5554"/>
    <w:rsid w:val="17B8231D"/>
    <w:rsid w:val="17BF5E77"/>
    <w:rsid w:val="17C05A2B"/>
    <w:rsid w:val="17FC6AFE"/>
    <w:rsid w:val="184F7BC6"/>
    <w:rsid w:val="18B42C62"/>
    <w:rsid w:val="18EB136F"/>
    <w:rsid w:val="190B0505"/>
    <w:rsid w:val="1928368D"/>
    <w:rsid w:val="19330334"/>
    <w:rsid w:val="199649B5"/>
    <w:rsid w:val="199E386A"/>
    <w:rsid w:val="1A3B37AF"/>
    <w:rsid w:val="1A6E148E"/>
    <w:rsid w:val="1ABF1CEA"/>
    <w:rsid w:val="1AF65D73"/>
    <w:rsid w:val="1B1F4E7E"/>
    <w:rsid w:val="1BF92DAD"/>
    <w:rsid w:val="1C084437"/>
    <w:rsid w:val="1C0F56CC"/>
    <w:rsid w:val="1D2B3DED"/>
    <w:rsid w:val="1D306ECF"/>
    <w:rsid w:val="1D7B48E1"/>
    <w:rsid w:val="1E062EE0"/>
    <w:rsid w:val="1E723DC4"/>
    <w:rsid w:val="1EBF5371"/>
    <w:rsid w:val="1EE91FBF"/>
    <w:rsid w:val="1F1D7927"/>
    <w:rsid w:val="1F470657"/>
    <w:rsid w:val="1F882FF2"/>
    <w:rsid w:val="1F9C4CF0"/>
    <w:rsid w:val="1FA15E62"/>
    <w:rsid w:val="1FD5916C"/>
    <w:rsid w:val="208F7FC0"/>
    <w:rsid w:val="20E00C0C"/>
    <w:rsid w:val="213C22E6"/>
    <w:rsid w:val="216A076B"/>
    <w:rsid w:val="220025D8"/>
    <w:rsid w:val="2254540E"/>
    <w:rsid w:val="22724761"/>
    <w:rsid w:val="22F15352"/>
    <w:rsid w:val="22F73DC9"/>
    <w:rsid w:val="230002D2"/>
    <w:rsid w:val="232D6F5D"/>
    <w:rsid w:val="238C474C"/>
    <w:rsid w:val="23DA7B95"/>
    <w:rsid w:val="244B6AD7"/>
    <w:rsid w:val="24DE6373"/>
    <w:rsid w:val="24EE1B49"/>
    <w:rsid w:val="24EF58C2"/>
    <w:rsid w:val="25551BC9"/>
    <w:rsid w:val="25560C10"/>
    <w:rsid w:val="257D2C18"/>
    <w:rsid w:val="25DF7045"/>
    <w:rsid w:val="26211590"/>
    <w:rsid w:val="2629095F"/>
    <w:rsid w:val="26370DD3"/>
    <w:rsid w:val="26923B7F"/>
    <w:rsid w:val="26A85D28"/>
    <w:rsid w:val="26B15148"/>
    <w:rsid w:val="272E6D31"/>
    <w:rsid w:val="279F35CF"/>
    <w:rsid w:val="27A83334"/>
    <w:rsid w:val="27B34984"/>
    <w:rsid w:val="28BF0563"/>
    <w:rsid w:val="28DE1ED5"/>
    <w:rsid w:val="29183639"/>
    <w:rsid w:val="296B5DC2"/>
    <w:rsid w:val="29922BAD"/>
    <w:rsid w:val="29E97BA4"/>
    <w:rsid w:val="2A075370"/>
    <w:rsid w:val="2A8D3BB3"/>
    <w:rsid w:val="2A8D5961"/>
    <w:rsid w:val="2AA168F3"/>
    <w:rsid w:val="2AA25843"/>
    <w:rsid w:val="2AAFC734"/>
    <w:rsid w:val="2B8F395A"/>
    <w:rsid w:val="2BA87B0B"/>
    <w:rsid w:val="2BCF3D57"/>
    <w:rsid w:val="2BE8382E"/>
    <w:rsid w:val="2C29688B"/>
    <w:rsid w:val="2C2C73FB"/>
    <w:rsid w:val="2C5941DA"/>
    <w:rsid w:val="2C6B1F6C"/>
    <w:rsid w:val="2CF55D49"/>
    <w:rsid w:val="2DD32012"/>
    <w:rsid w:val="2E243B05"/>
    <w:rsid w:val="2E7FDA41"/>
    <w:rsid w:val="2ECB4CA9"/>
    <w:rsid w:val="2ED43377"/>
    <w:rsid w:val="2ED54E09"/>
    <w:rsid w:val="2F023872"/>
    <w:rsid w:val="2F1332E5"/>
    <w:rsid w:val="2F2C457E"/>
    <w:rsid w:val="2F2F5238"/>
    <w:rsid w:val="2F59200D"/>
    <w:rsid w:val="2FCC3004"/>
    <w:rsid w:val="2FEC4ED7"/>
    <w:rsid w:val="30030454"/>
    <w:rsid w:val="303C5AC2"/>
    <w:rsid w:val="3078676B"/>
    <w:rsid w:val="309E4894"/>
    <w:rsid w:val="313A7EC4"/>
    <w:rsid w:val="32AF0DB6"/>
    <w:rsid w:val="330A6447"/>
    <w:rsid w:val="333A49B1"/>
    <w:rsid w:val="339E60CD"/>
    <w:rsid w:val="33BE6B8B"/>
    <w:rsid w:val="33FF50CB"/>
    <w:rsid w:val="33FF7A66"/>
    <w:rsid w:val="34847989"/>
    <w:rsid w:val="34983587"/>
    <w:rsid w:val="35CD57AB"/>
    <w:rsid w:val="35E70447"/>
    <w:rsid w:val="364F6183"/>
    <w:rsid w:val="36B454CA"/>
    <w:rsid w:val="36D9407C"/>
    <w:rsid w:val="372B4021"/>
    <w:rsid w:val="37330558"/>
    <w:rsid w:val="375810A4"/>
    <w:rsid w:val="377F194F"/>
    <w:rsid w:val="38107BD1"/>
    <w:rsid w:val="382611A3"/>
    <w:rsid w:val="38FC1AA0"/>
    <w:rsid w:val="396648EC"/>
    <w:rsid w:val="39D30EB6"/>
    <w:rsid w:val="3A34430B"/>
    <w:rsid w:val="3A3C2EFF"/>
    <w:rsid w:val="3A683CF4"/>
    <w:rsid w:val="3B7F4E52"/>
    <w:rsid w:val="3BF32330"/>
    <w:rsid w:val="3C746980"/>
    <w:rsid w:val="3D13447D"/>
    <w:rsid w:val="3D2A5291"/>
    <w:rsid w:val="3D7FC675"/>
    <w:rsid w:val="3D842BF3"/>
    <w:rsid w:val="3DAC3EF8"/>
    <w:rsid w:val="3EA218E1"/>
    <w:rsid w:val="3EB06B81"/>
    <w:rsid w:val="3EC32267"/>
    <w:rsid w:val="3EC35278"/>
    <w:rsid w:val="3F0324C4"/>
    <w:rsid w:val="3FBC5158"/>
    <w:rsid w:val="3FC16992"/>
    <w:rsid w:val="3FDD58B1"/>
    <w:rsid w:val="3FF74DC1"/>
    <w:rsid w:val="3FF990CB"/>
    <w:rsid w:val="3FFB2FE8"/>
    <w:rsid w:val="3FFFF257"/>
    <w:rsid w:val="4000748B"/>
    <w:rsid w:val="40526FD9"/>
    <w:rsid w:val="40921B5C"/>
    <w:rsid w:val="40CF1174"/>
    <w:rsid w:val="41055DF9"/>
    <w:rsid w:val="414215CC"/>
    <w:rsid w:val="4145432E"/>
    <w:rsid w:val="41644484"/>
    <w:rsid w:val="41C12FB2"/>
    <w:rsid w:val="41CA0DF1"/>
    <w:rsid w:val="4215398E"/>
    <w:rsid w:val="425C3D67"/>
    <w:rsid w:val="432B19E3"/>
    <w:rsid w:val="43376189"/>
    <w:rsid w:val="433C5D1E"/>
    <w:rsid w:val="436808C1"/>
    <w:rsid w:val="43851473"/>
    <w:rsid w:val="439434A5"/>
    <w:rsid w:val="43E447BF"/>
    <w:rsid w:val="44666E78"/>
    <w:rsid w:val="44827F89"/>
    <w:rsid w:val="44CB27B1"/>
    <w:rsid w:val="45B95398"/>
    <w:rsid w:val="45C52A6A"/>
    <w:rsid w:val="45EE0BDA"/>
    <w:rsid w:val="463A50F2"/>
    <w:rsid w:val="468477C0"/>
    <w:rsid w:val="4699558C"/>
    <w:rsid w:val="46B300A5"/>
    <w:rsid w:val="46DE52EB"/>
    <w:rsid w:val="47171B89"/>
    <w:rsid w:val="474358CD"/>
    <w:rsid w:val="4748265D"/>
    <w:rsid w:val="478040C9"/>
    <w:rsid w:val="479E48B1"/>
    <w:rsid w:val="47C83991"/>
    <w:rsid w:val="47E349BA"/>
    <w:rsid w:val="48203A55"/>
    <w:rsid w:val="48D013E2"/>
    <w:rsid w:val="4913057E"/>
    <w:rsid w:val="49156B9E"/>
    <w:rsid w:val="49382AE4"/>
    <w:rsid w:val="4A2E1B1F"/>
    <w:rsid w:val="4B0435C5"/>
    <w:rsid w:val="4B2A072D"/>
    <w:rsid w:val="4B58121B"/>
    <w:rsid w:val="4BBA3C84"/>
    <w:rsid w:val="4C401D3E"/>
    <w:rsid w:val="4CB15D1C"/>
    <w:rsid w:val="4CBA4F64"/>
    <w:rsid w:val="4CFE2B9B"/>
    <w:rsid w:val="4D4B7289"/>
    <w:rsid w:val="4DA92202"/>
    <w:rsid w:val="4DAB5F7A"/>
    <w:rsid w:val="4E0336C0"/>
    <w:rsid w:val="4E313DB3"/>
    <w:rsid w:val="4E524648"/>
    <w:rsid w:val="4E778725"/>
    <w:rsid w:val="4E9A06AA"/>
    <w:rsid w:val="4EAF1A9A"/>
    <w:rsid w:val="4EE04532"/>
    <w:rsid w:val="4EE96D5A"/>
    <w:rsid w:val="4EEA4880"/>
    <w:rsid w:val="4EF53787"/>
    <w:rsid w:val="4F782C35"/>
    <w:rsid w:val="4FEC087A"/>
    <w:rsid w:val="4FFB9F99"/>
    <w:rsid w:val="4FFF9F00"/>
    <w:rsid w:val="502C2AED"/>
    <w:rsid w:val="5037550A"/>
    <w:rsid w:val="50574197"/>
    <w:rsid w:val="50874A7C"/>
    <w:rsid w:val="508F4072"/>
    <w:rsid w:val="50A8054F"/>
    <w:rsid w:val="50D70E34"/>
    <w:rsid w:val="50DB6B76"/>
    <w:rsid w:val="51263CA3"/>
    <w:rsid w:val="512D78DC"/>
    <w:rsid w:val="514940B1"/>
    <w:rsid w:val="517F641B"/>
    <w:rsid w:val="51B51175"/>
    <w:rsid w:val="51D33CF1"/>
    <w:rsid w:val="51EA3662"/>
    <w:rsid w:val="521A547C"/>
    <w:rsid w:val="52260F6E"/>
    <w:rsid w:val="528B1A2F"/>
    <w:rsid w:val="528E3EFF"/>
    <w:rsid w:val="52ED0DE3"/>
    <w:rsid w:val="534529CD"/>
    <w:rsid w:val="537D4CE0"/>
    <w:rsid w:val="53AA7D83"/>
    <w:rsid w:val="53EFFFC0"/>
    <w:rsid w:val="543D6CB1"/>
    <w:rsid w:val="54AA6F8B"/>
    <w:rsid w:val="54F961C4"/>
    <w:rsid w:val="55AE21B4"/>
    <w:rsid w:val="55D67FF7"/>
    <w:rsid w:val="56316EE0"/>
    <w:rsid w:val="56772E9D"/>
    <w:rsid w:val="56D87B1F"/>
    <w:rsid w:val="579F31FE"/>
    <w:rsid w:val="57A21498"/>
    <w:rsid w:val="57C2639A"/>
    <w:rsid w:val="58C1460F"/>
    <w:rsid w:val="58EF5398"/>
    <w:rsid w:val="592272AD"/>
    <w:rsid w:val="59335ABA"/>
    <w:rsid w:val="59A71CEC"/>
    <w:rsid w:val="59E72CA7"/>
    <w:rsid w:val="5ABD72ED"/>
    <w:rsid w:val="5AFE3B8D"/>
    <w:rsid w:val="5B101B12"/>
    <w:rsid w:val="5B1213E7"/>
    <w:rsid w:val="5B296730"/>
    <w:rsid w:val="5B91577F"/>
    <w:rsid w:val="5B963993"/>
    <w:rsid w:val="5BB46BD5"/>
    <w:rsid w:val="5C6439D1"/>
    <w:rsid w:val="5C8816B4"/>
    <w:rsid w:val="5C91317D"/>
    <w:rsid w:val="5D6F272E"/>
    <w:rsid w:val="5DA84256"/>
    <w:rsid w:val="5DE2588C"/>
    <w:rsid w:val="5E3B2C2C"/>
    <w:rsid w:val="5E8F3527"/>
    <w:rsid w:val="5EE17A4E"/>
    <w:rsid w:val="5EF01A3F"/>
    <w:rsid w:val="5EF3F159"/>
    <w:rsid w:val="5F351B48"/>
    <w:rsid w:val="5F4CCE4D"/>
    <w:rsid w:val="5F8925D3"/>
    <w:rsid w:val="6005151A"/>
    <w:rsid w:val="604A0030"/>
    <w:rsid w:val="6053601C"/>
    <w:rsid w:val="60AA066E"/>
    <w:rsid w:val="60B116A2"/>
    <w:rsid w:val="611C24EC"/>
    <w:rsid w:val="612C0D28"/>
    <w:rsid w:val="61CF4629"/>
    <w:rsid w:val="623936FD"/>
    <w:rsid w:val="629F5867"/>
    <w:rsid w:val="63231526"/>
    <w:rsid w:val="63C464CF"/>
    <w:rsid w:val="63E96592"/>
    <w:rsid w:val="63F316FD"/>
    <w:rsid w:val="640D4E41"/>
    <w:rsid w:val="647B7FFD"/>
    <w:rsid w:val="64882803"/>
    <w:rsid w:val="648F2712"/>
    <w:rsid w:val="64A71B53"/>
    <w:rsid w:val="64AB443F"/>
    <w:rsid w:val="64E536C8"/>
    <w:rsid w:val="65B349E3"/>
    <w:rsid w:val="66986D5A"/>
    <w:rsid w:val="66C20165"/>
    <w:rsid w:val="66FE6C22"/>
    <w:rsid w:val="67050051"/>
    <w:rsid w:val="677BE93A"/>
    <w:rsid w:val="679C1ED9"/>
    <w:rsid w:val="67A72395"/>
    <w:rsid w:val="67E987F6"/>
    <w:rsid w:val="686D4100"/>
    <w:rsid w:val="689C44EF"/>
    <w:rsid w:val="68DC3034"/>
    <w:rsid w:val="69354294"/>
    <w:rsid w:val="695D5F23"/>
    <w:rsid w:val="697F058F"/>
    <w:rsid w:val="69871EDA"/>
    <w:rsid w:val="69A71894"/>
    <w:rsid w:val="69A771F5"/>
    <w:rsid w:val="69F0323B"/>
    <w:rsid w:val="6A093542"/>
    <w:rsid w:val="6A0F49C4"/>
    <w:rsid w:val="6A3A6264"/>
    <w:rsid w:val="6A470981"/>
    <w:rsid w:val="6A55309E"/>
    <w:rsid w:val="6AAB0A45"/>
    <w:rsid w:val="6AB40952"/>
    <w:rsid w:val="6ABF49BB"/>
    <w:rsid w:val="6B3B299E"/>
    <w:rsid w:val="6B47F63E"/>
    <w:rsid w:val="6B8A4FC9"/>
    <w:rsid w:val="6BAE0CB8"/>
    <w:rsid w:val="6BE826D8"/>
    <w:rsid w:val="6BF82CEA"/>
    <w:rsid w:val="6BFBE3A1"/>
    <w:rsid w:val="6C1659CB"/>
    <w:rsid w:val="6C2216A6"/>
    <w:rsid w:val="6C620B69"/>
    <w:rsid w:val="6CBB3B13"/>
    <w:rsid w:val="6CDB6FC7"/>
    <w:rsid w:val="6CDE1F0E"/>
    <w:rsid w:val="6CF05300"/>
    <w:rsid w:val="6D3C59A8"/>
    <w:rsid w:val="6D6F3D1B"/>
    <w:rsid w:val="6DF947B3"/>
    <w:rsid w:val="6DF9765E"/>
    <w:rsid w:val="6E265C41"/>
    <w:rsid w:val="6E7733BC"/>
    <w:rsid w:val="6EA975AB"/>
    <w:rsid w:val="6F382A41"/>
    <w:rsid w:val="6FAB11BD"/>
    <w:rsid w:val="6FB81823"/>
    <w:rsid w:val="6FD01269"/>
    <w:rsid w:val="6FE1412D"/>
    <w:rsid w:val="6FE2030A"/>
    <w:rsid w:val="6FEEB9B3"/>
    <w:rsid w:val="6FF3B4D4"/>
    <w:rsid w:val="703A6FBE"/>
    <w:rsid w:val="707A560C"/>
    <w:rsid w:val="712C2F77"/>
    <w:rsid w:val="71DC0B0E"/>
    <w:rsid w:val="723D57F3"/>
    <w:rsid w:val="723D5E69"/>
    <w:rsid w:val="727F39E9"/>
    <w:rsid w:val="733F8BCE"/>
    <w:rsid w:val="737A5923"/>
    <w:rsid w:val="73CF344E"/>
    <w:rsid w:val="73F456D6"/>
    <w:rsid w:val="73FFE37A"/>
    <w:rsid w:val="74291A4A"/>
    <w:rsid w:val="74E3645A"/>
    <w:rsid w:val="757765BE"/>
    <w:rsid w:val="757C1E26"/>
    <w:rsid w:val="75A21FF9"/>
    <w:rsid w:val="75ED5D32"/>
    <w:rsid w:val="761B7DAD"/>
    <w:rsid w:val="76312549"/>
    <w:rsid w:val="764379F3"/>
    <w:rsid w:val="764FC2D0"/>
    <w:rsid w:val="769B54C8"/>
    <w:rsid w:val="76A35191"/>
    <w:rsid w:val="76C84BF7"/>
    <w:rsid w:val="76DE173B"/>
    <w:rsid w:val="772067E2"/>
    <w:rsid w:val="7758241F"/>
    <w:rsid w:val="77AF6499"/>
    <w:rsid w:val="77BB0620"/>
    <w:rsid w:val="77BBF271"/>
    <w:rsid w:val="77BE6726"/>
    <w:rsid w:val="77C27899"/>
    <w:rsid w:val="7833737D"/>
    <w:rsid w:val="787F5CDD"/>
    <w:rsid w:val="78B61960"/>
    <w:rsid w:val="78E268EA"/>
    <w:rsid w:val="79B723A7"/>
    <w:rsid w:val="79CD4D87"/>
    <w:rsid w:val="79DF905D"/>
    <w:rsid w:val="79EF3FAC"/>
    <w:rsid w:val="79F49770"/>
    <w:rsid w:val="79F53F55"/>
    <w:rsid w:val="79FF6B82"/>
    <w:rsid w:val="7A0B5527"/>
    <w:rsid w:val="7A8D6248"/>
    <w:rsid w:val="7AA17C39"/>
    <w:rsid w:val="7AFF6D94"/>
    <w:rsid w:val="7B572D8D"/>
    <w:rsid w:val="7B75534E"/>
    <w:rsid w:val="7B7F671F"/>
    <w:rsid w:val="7B8424F0"/>
    <w:rsid w:val="7BBE009C"/>
    <w:rsid w:val="7BBEFAB9"/>
    <w:rsid w:val="7BC40409"/>
    <w:rsid w:val="7BFFBC13"/>
    <w:rsid w:val="7C9A5409"/>
    <w:rsid w:val="7CDB036D"/>
    <w:rsid w:val="7D6FBF16"/>
    <w:rsid w:val="7D7E3FDE"/>
    <w:rsid w:val="7DA40C8C"/>
    <w:rsid w:val="7DBFB476"/>
    <w:rsid w:val="7DC817A8"/>
    <w:rsid w:val="7DEF7B06"/>
    <w:rsid w:val="7E3B3B79"/>
    <w:rsid w:val="7E7D2E3D"/>
    <w:rsid w:val="7E953F59"/>
    <w:rsid w:val="7EB342EC"/>
    <w:rsid w:val="7EBD7ED2"/>
    <w:rsid w:val="7EBFACFD"/>
    <w:rsid w:val="7ECA59B1"/>
    <w:rsid w:val="7EEBA858"/>
    <w:rsid w:val="7EEEC814"/>
    <w:rsid w:val="7EFD1F6E"/>
    <w:rsid w:val="7F3F7A5A"/>
    <w:rsid w:val="7F581404"/>
    <w:rsid w:val="7F6E2EFD"/>
    <w:rsid w:val="7F9A6B74"/>
    <w:rsid w:val="7FB96613"/>
    <w:rsid w:val="7FED63EF"/>
    <w:rsid w:val="7FFCC487"/>
    <w:rsid w:val="87FB8AF9"/>
    <w:rsid w:val="9FFF8A3E"/>
    <w:rsid w:val="A5C7BAA4"/>
    <w:rsid w:val="B33FB105"/>
    <w:rsid w:val="B9D9584F"/>
    <w:rsid w:val="BE7B8A43"/>
    <w:rsid w:val="BF7FCEB6"/>
    <w:rsid w:val="BFEDA0CE"/>
    <w:rsid w:val="BFFB7F12"/>
    <w:rsid w:val="CB7D6125"/>
    <w:rsid w:val="CBBF4C69"/>
    <w:rsid w:val="CBFD345F"/>
    <w:rsid w:val="CFBFB8EF"/>
    <w:rsid w:val="D1795E6C"/>
    <w:rsid w:val="D3DB7C02"/>
    <w:rsid w:val="D7F720FA"/>
    <w:rsid w:val="DBE35CB0"/>
    <w:rsid w:val="DBFB39D0"/>
    <w:rsid w:val="DCABCB8C"/>
    <w:rsid w:val="DCD3FD59"/>
    <w:rsid w:val="DCFFF1D9"/>
    <w:rsid w:val="DDCD14CA"/>
    <w:rsid w:val="DE7F9A87"/>
    <w:rsid w:val="DF7E3684"/>
    <w:rsid w:val="DFF5925E"/>
    <w:rsid w:val="DFFDB781"/>
    <w:rsid w:val="E71EE116"/>
    <w:rsid w:val="E7F70C39"/>
    <w:rsid w:val="EAEF9DF3"/>
    <w:rsid w:val="EB6C8873"/>
    <w:rsid w:val="EBFF946B"/>
    <w:rsid w:val="ECDE65CA"/>
    <w:rsid w:val="ECDF8ED7"/>
    <w:rsid w:val="EEF3D9BA"/>
    <w:rsid w:val="EFC69CAC"/>
    <w:rsid w:val="EFDC3FBC"/>
    <w:rsid w:val="EFF38745"/>
    <w:rsid w:val="EFF7935B"/>
    <w:rsid w:val="EFFB3D1E"/>
    <w:rsid w:val="EFFDCE7E"/>
    <w:rsid w:val="F0DBA25D"/>
    <w:rsid w:val="F3FE1F6A"/>
    <w:rsid w:val="F5AB9A7A"/>
    <w:rsid w:val="F6FEE127"/>
    <w:rsid w:val="F736EB41"/>
    <w:rsid w:val="F77DFE2F"/>
    <w:rsid w:val="F7FFC58C"/>
    <w:rsid w:val="FAF2D042"/>
    <w:rsid w:val="FB56286F"/>
    <w:rsid w:val="FBDB649A"/>
    <w:rsid w:val="FBE55884"/>
    <w:rsid w:val="FBEEA797"/>
    <w:rsid w:val="FBEFB647"/>
    <w:rsid w:val="FBFB5717"/>
    <w:rsid w:val="FC5FB5EC"/>
    <w:rsid w:val="FD7B30A3"/>
    <w:rsid w:val="FD9F5184"/>
    <w:rsid w:val="FDC76533"/>
    <w:rsid w:val="FDE7F2BA"/>
    <w:rsid w:val="FDEF7AB7"/>
    <w:rsid w:val="FDFA4E35"/>
    <w:rsid w:val="FDFD15B2"/>
    <w:rsid w:val="FE65433B"/>
    <w:rsid w:val="FE694562"/>
    <w:rsid w:val="FEB97A0B"/>
    <w:rsid w:val="FEF346CC"/>
    <w:rsid w:val="FF1F8121"/>
    <w:rsid w:val="FF1FC3E8"/>
    <w:rsid w:val="FF4F0BF6"/>
    <w:rsid w:val="FF8D1CED"/>
    <w:rsid w:val="FF9D35A6"/>
    <w:rsid w:val="FFAF21F7"/>
    <w:rsid w:val="FFBD1ADF"/>
    <w:rsid w:val="FFD9092D"/>
    <w:rsid w:val="FFDF5149"/>
    <w:rsid w:val="FFF969F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pPr>
    <w:rPr>
      <w:rFonts w:ascii="Calibri" w:eastAsia="宋体"/>
      <w:sz w:val="21"/>
      <w:szCs w:val="22"/>
    </w:rPr>
  </w:style>
  <w:style w:type="paragraph" w:customStyle="1" w:styleId="3">
    <w:name w:val="BodyTextIndent"/>
    <w:basedOn w:val="1"/>
    <w:qFormat/>
    <w:uiPriority w:val="0"/>
    <w:pPr>
      <w:ind w:firstLine="540"/>
      <w:textAlignment w:val="baseline"/>
    </w:pPr>
    <w:rPr>
      <w:rFonts w:ascii="仿宋_GB2312" w:hAnsi="Calibri" w:eastAsia="仿宋_GB2312"/>
      <w:sz w:val="30"/>
      <w:szCs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footnote reference"/>
    <w:basedOn w:val="11"/>
    <w:qFormat/>
    <w:uiPriority w:val="0"/>
    <w:rPr>
      <w:vertAlign w:val="superscript"/>
    </w:rPr>
  </w:style>
  <w:style w:type="paragraph" w:customStyle="1" w:styleId="14">
    <w:name w:val="列出段落1"/>
    <w:basedOn w:val="1"/>
    <w:qFormat/>
    <w:uiPriority w:val="0"/>
    <w:pPr>
      <w:ind w:firstLine="420" w:firstLineChars="200"/>
    </w:pPr>
  </w:style>
  <w:style w:type="character" w:customStyle="1" w:styleId="15">
    <w:name w:val="font11"/>
    <w:basedOn w:val="11"/>
    <w:qFormat/>
    <w:uiPriority w:val="0"/>
    <w:rPr>
      <w:rFonts w:ascii="font-weight : 400" w:hAnsi="font-weight : 400" w:eastAsia="font-weight : 400" w:cs="font-weight : 400"/>
      <w:color w:val="000000"/>
      <w:sz w:val="24"/>
      <w:szCs w:val="24"/>
      <w:u w:val="none"/>
    </w:rPr>
  </w:style>
  <w:style w:type="character" w:customStyle="1" w:styleId="16">
    <w:name w:val="font01"/>
    <w:basedOn w:val="11"/>
    <w:qFormat/>
    <w:uiPriority w:val="0"/>
    <w:rPr>
      <w:rFonts w:hint="default" w:ascii="font-weight : 400" w:hAnsi="font-weight : 400" w:eastAsia="font-weight : 400" w:cs="font-weight : 400"/>
      <w:color w:val="000000"/>
      <w:sz w:val="24"/>
      <w:szCs w:val="24"/>
      <w:u w:val="single"/>
    </w:rPr>
  </w:style>
  <w:style w:type="character" w:customStyle="1" w:styleId="17">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5528</Words>
  <Characters>6009</Characters>
  <Lines>0</Lines>
  <Paragraphs>0</Paragraphs>
  <TotalTime>12</TotalTime>
  <ScaleCrop>false</ScaleCrop>
  <LinksUpToDate>false</LinksUpToDate>
  <CharactersWithSpaces>6029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2021-05-13T11:04:00Z</dcterms:created>
  <dc:creator>Administrator</dc:creator>
  <cp:lastModifiedBy>刘芳男</cp:lastModifiedBy>
  <cp:lastPrinted>2024-09-05T09:28:52Z</cp:lastPrinted>
  <dcterms:modified xsi:type="dcterms:W3CDTF">2024-09-05T09:29:02Z</dcterms:modified>
  <dc:title>三亚市旅游文化体育大型活动资金管理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471A6E5CC9FB4C61B8A851B83E752651_13</vt:lpwstr>
  </property>
</Properties>
</file>