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07576">
      <w:pPr>
        <w:adjustRightInd w:val="0"/>
        <w:snapToGrid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3" name="左中括号 3"/>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40386772">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1312;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xfK7lgsCAAAABAAADgAAAAAA&#10;AAABACAAAAArAQAAZHJzL2Uyb0RvYy54bWxQSwUGAAAAAAYABgBZAQAAqAUAAAAA&#10;" adj="532">
                <v:fill on="f" focussize="0,0"/>
                <v:stroke color="#000000" joinstyle="round"/>
                <v:imagedata o:title=""/>
                <o:lock v:ext="edit" aspectratio="f"/>
                <v:textbox>
                  <w:txbxContent>
                    <w:p w14:paraId="40386772">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6" name="直接连接符 6"/>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0288;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XXrVCwIAAPk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9" name="左中括号 9"/>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28806B10">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3360;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N6UNgsCAAAABAAADgAAAAAA&#10;AAABACAAAAArAQAAZHJzL2Uyb0RvYy54bWxQSwUGAAAAAAYABgBZAQAAqAUAAAAA&#10;" adj="532">
                <v:fill on="f" focussize="0,0"/>
                <v:stroke color="#000000" joinstyle="round"/>
                <v:imagedata o:title=""/>
                <o:lock v:ext="edit" aspectratio="f"/>
                <v:textbox>
                  <w:txbxContent>
                    <w:p w14:paraId="28806B10">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10" name="直接连接符 10"/>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2336;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isky5CwIAAPs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lang w:val="en-US" w:eastAsia="zh-CN"/>
        </w:rPr>
        <w:t>附件2</w:t>
      </w:r>
    </w:p>
    <w:p w14:paraId="7B97775D">
      <w:pPr>
        <w:pStyle w:val="2"/>
        <w:rPr>
          <w:rFonts w:hint="eastAsia"/>
        </w:rPr>
      </w:pPr>
    </w:p>
    <w:p w14:paraId="44191422">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三亚市旅游文化体育大型活动</w:t>
      </w:r>
    </w:p>
    <w:p w14:paraId="037E5A31">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eastAsia="微软简标宋" w:cs="Times New Roman"/>
          <w:color w:val="auto"/>
          <w:sz w:val="44"/>
          <w:szCs w:val="44"/>
          <w:lang w:val="en-US" w:eastAsia="zh-CN"/>
        </w:rPr>
        <w:t>资金申报</w:t>
      </w:r>
      <w:r>
        <w:rPr>
          <w:rFonts w:hint="eastAsia" w:ascii="Times New Roman" w:hAnsi="Times New Roman" w:eastAsia="微软简标宋" w:cs="Times New Roman"/>
          <w:color w:val="auto"/>
          <w:sz w:val="44"/>
          <w:szCs w:val="44"/>
          <w:lang w:val="en-US" w:eastAsia="zh-CN"/>
        </w:rPr>
        <w:t>材料</w:t>
      </w:r>
    </w:p>
    <w:p w14:paraId="270040B9">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w:t>
      </w:r>
      <w:r>
        <w:rPr>
          <w:rFonts w:hint="eastAsia" w:eastAsia="微软简标宋" w:cs="Times New Roman"/>
          <w:color w:val="auto"/>
          <w:sz w:val="44"/>
          <w:szCs w:val="44"/>
          <w:lang w:val="en-US" w:eastAsia="zh-CN"/>
        </w:rPr>
        <w:t>格</w:t>
      </w:r>
      <w:bookmarkStart w:id="0" w:name="_GoBack"/>
      <w:r>
        <w:rPr>
          <w:rFonts w:hint="eastAsia" w:ascii="Times New Roman" w:hAnsi="Times New Roman" w:eastAsia="微软简标宋" w:cs="Times New Roman"/>
          <w:color w:val="auto"/>
          <w:sz w:val="44"/>
          <w:szCs w:val="44"/>
          <w:lang w:val="en-US" w:eastAsia="zh-CN"/>
        </w:rPr>
        <w:t>式模板）</w:t>
      </w:r>
      <w:bookmarkEnd w:id="0"/>
    </w:p>
    <w:p w14:paraId="56FF2059">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eastAsia="黑体" w:cs="Times New Roman"/>
          <w:color w:val="auto"/>
          <w:kern w:val="0"/>
          <w:sz w:val="44"/>
          <w:szCs w:val="44"/>
        </w:rPr>
      </w:pPr>
    </w:p>
    <w:p w14:paraId="756FFBB0">
      <w:pPr>
        <w:pStyle w:val="2"/>
        <w:rPr>
          <w:rFonts w:hint="default"/>
        </w:rPr>
      </w:pPr>
    </w:p>
    <w:p w14:paraId="13020D0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活动名称：</w:t>
      </w:r>
      <w:r>
        <w:rPr>
          <w:rFonts w:hint="default" w:ascii="Times New Roman" w:hAnsi="Times New Roman" w:eastAsia="黑体" w:cs="Times New Roman"/>
          <w:color w:val="auto"/>
          <w:kern w:val="0"/>
          <w:sz w:val="32"/>
          <w:szCs w:val="32"/>
          <w:lang w:val="en-US" w:eastAsia="zh-CN"/>
        </w:rPr>
        <w:t xml:space="preserve">                         </w:t>
      </w:r>
    </w:p>
    <w:p w14:paraId="14EC5C21">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rPr>
        <w:t>单位</w:t>
      </w:r>
      <w:r>
        <w:rPr>
          <w:rFonts w:hint="default" w:ascii="Times New Roman" w:hAnsi="Times New Roman" w:eastAsia="黑体" w:cs="Times New Roman"/>
          <w:color w:val="auto"/>
          <w:kern w:val="0"/>
          <w:sz w:val="32"/>
          <w:szCs w:val="32"/>
          <w:lang w:eastAsia="zh-CN"/>
        </w:rPr>
        <w:t>：</w:t>
      </w:r>
      <w:r>
        <w:rPr>
          <w:rFonts w:hint="default" w:ascii="Times New Roman" w:hAnsi="Times New Roman" w:eastAsia="黑体" w:cs="Times New Roman"/>
          <w:color w:val="auto"/>
          <w:kern w:val="0"/>
          <w:sz w:val="32"/>
          <w:szCs w:val="32"/>
          <w:lang w:val="en-US" w:eastAsia="zh-CN"/>
        </w:rPr>
        <w:t xml:space="preserve">   </w:t>
      </w:r>
    </w:p>
    <w:p w14:paraId="276E4D7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lang w:eastAsia="zh-CN"/>
        </w:rPr>
        <w:t>日期</w:t>
      </w:r>
      <w:r>
        <w:rPr>
          <w:rFonts w:hint="default" w:ascii="Times New Roman" w:hAnsi="Times New Roman" w:eastAsia="黑体" w:cs="Times New Roman"/>
          <w:color w:val="auto"/>
          <w:kern w:val="0"/>
          <w:sz w:val="32"/>
          <w:szCs w:val="32"/>
        </w:rPr>
        <w:t xml:space="preserve">：  </w:t>
      </w:r>
    </w:p>
    <w:p w14:paraId="38434B08">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eastAsia" w:eastAsia="黑体" w:cs="Times New Roman"/>
          <w:color w:val="auto"/>
          <w:kern w:val="0"/>
          <w:sz w:val="32"/>
          <w:szCs w:val="32"/>
          <w:lang w:val="en-US" w:eastAsia="zh-CN"/>
        </w:rPr>
        <w:t>负 责 人</w:t>
      </w:r>
      <w:r>
        <w:rPr>
          <w:rFonts w:hint="default" w:ascii="Times New Roman" w:hAnsi="Times New Roman" w:eastAsia="黑体" w:cs="Times New Roman"/>
          <w:color w:val="auto"/>
          <w:kern w:val="0"/>
          <w:sz w:val="32"/>
          <w:szCs w:val="32"/>
          <w:lang w:eastAsia="zh-CN"/>
        </w:rPr>
        <w:t>：</w:t>
      </w:r>
    </w:p>
    <w:p w14:paraId="553C1E05">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u w:val="single"/>
          <w:lang w:val="en-US" w:eastAsia="zh-CN"/>
        </w:rPr>
      </w:pPr>
      <w:r>
        <w:rPr>
          <w:rFonts w:hint="default" w:ascii="Times New Roman" w:hAnsi="Times New Roman" w:eastAsia="黑体" w:cs="Times New Roman"/>
          <w:color w:val="auto"/>
          <w:kern w:val="0"/>
          <w:sz w:val="32"/>
          <w:szCs w:val="32"/>
          <w:lang w:eastAsia="zh-CN"/>
        </w:rPr>
        <w:t>电</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lang w:eastAsia="zh-CN"/>
        </w:rPr>
        <w:t>话：</w:t>
      </w:r>
    </w:p>
    <w:p w14:paraId="265699A4">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u w:val="none"/>
          <w:lang w:val="en-US" w:eastAsia="zh-CN"/>
        </w:rPr>
        <w:t>项目编</w:t>
      </w:r>
      <w:r>
        <w:rPr>
          <w:rFonts w:hint="eastAsia" w:eastAsia="黑体" w:cs="Times New Roman"/>
          <w:color w:val="auto"/>
          <w:kern w:val="0"/>
          <w:sz w:val="32"/>
          <w:szCs w:val="32"/>
          <w:u w:val="none"/>
          <w:lang w:val="en-US" w:eastAsia="zh-CN"/>
        </w:rPr>
        <w:t>码</w:t>
      </w:r>
      <w:r>
        <w:rPr>
          <w:rFonts w:hint="default" w:ascii="Times New Roman" w:hAnsi="Times New Roman" w:eastAsia="黑体" w:cs="Times New Roman"/>
          <w:color w:val="auto"/>
          <w:kern w:val="0"/>
          <w:sz w:val="32"/>
          <w:szCs w:val="32"/>
          <w:u w:val="none"/>
          <w:lang w:val="en-US" w:eastAsia="zh-CN"/>
        </w:rPr>
        <w:t xml:space="preserve">： </w:t>
      </w:r>
    </w:p>
    <w:p w14:paraId="1F9DE86D">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32"/>
          <w:szCs w:val="32"/>
        </w:rPr>
      </w:pPr>
    </w:p>
    <w:p w14:paraId="23ECF1F5">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65925A80">
      <w:pPr>
        <w:pStyle w:val="2"/>
        <w:rPr>
          <w:rFonts w:hint="default"/>
        </w:rPr>
      </w:pPr>
    </w:p>
    <w:p w14:paraId="19DD6058">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7AE28ACE">
      <w:pPr>
        <w:pStyle w:val="2"/>
        <w:rPr>
          <w:rFonts w:hint="default" w:ascii="Times New Roman" w:hAnsi="Times New Roman" w:cs="Times New Roman"/>
          <w:color w:val="auto"/>
          <w:lang w:eastAsia="zh-CN"/>
        </w:rPr>
      </w:pPr>
    </w:p>
    <w:p w14:paraId="674F3C99">
      <w:pPr>
        <w:rPr>
          <w:rFonts w:hint="default" w:ascii="Times New Roman" w:hAnsi="Times New Roman" w:cs="Times New Roman"/>
          <w:color w:val="auto"/>
          <w:lang w:eastAsia="zh-CN"/>
        </w:rPr>
      </w:pPr>
    </w:p>
    <w:p w14:paraId="26500F88">
      <w:pPr>
        <w:pStyle w:val="2"/>
        <w:rPr>
          <w:rFonts w:hint="default" w:ascii="Times New Roman" w:hAnsi="Times New Roman" w:cs="Times New Roman"/>
          <w:color w:val="auto"/>
          <w:lang w:eastAsia="zh-CN"/>
        </w:rPr>
      </w:pPr>
    </w:p>
    <w:p w14:paraId="2D2A97A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目  录</w:t>
      </w:r>
    </w:p>
    <w:p w14:paraId="5EAC9708">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eastAsia="zh-CN"/>
        </w:rPr>
        <w:t>Ⅰ</w:t>
      </w:r>
      <w:r>
        <w:rPr>
          <w:rFonts w:hint="eastAsia" w:ascii="Times New Roman" w:hAnsi="Times New Roman" w:eastAsia="微软雅黑"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bidi="ar-SA"/>
        </w:rPr>
        <w:t>三亚市旅游文化体育大型活动</w:t>
      </w:r>
      <w:r>
        <w:rPr>
          <w:rFonts w:hint="eastAsia" w:eastAsia="黑体" w:cs="Times New Roman"/>
          <w:color w:val="auto"/>
          <w:kern w:val="0"/>
          <w:sz w:val="32"/>
          <w:szCs w:val="32"/>
          <w:lang w:val="en-US" w:eastAsia="zh-CN" w:bidi="ar-SA"/>
        </w:rPr>
        <w:t>资金申报</w:t>
      </w:r>
      <w:r>
        <w:rPr>
          <w:rFonts w:hint="default" w:ascii="Times New Roman" w:hAnsi="Times New Roman" w:eastAsia="黑体" w:cs="Times New Roman"/>
          <w:color w:val="auto"/>
          <w:kern w:val="0"/>
          <w:sz w:val="32"/>
          <w:szCs w:val="32"/>
          <w:lang w:val="en-US" w:eastAsia="zh-CN" w:bidi="ar-SA"/>
        </w:rPr>
        <w:t>表</w:t>
      </w:r>
      <w:r>
        <w:rPr>
          <w:rFonts w:hint="eastAsia" w:eastAsia="黑体" w:cs="Times New Roman"/>
          <w:color w:val="auto"/>
          <w:kern w:val="0"/>
          <w:sz w:val="32"/>
          <w:szCs w:val="32"/>
          <w:lang w:val="en-US" w:eastAsia="zh-CN" w:bidi="ar-SA"/>
        </w:rPr>
        <w:t>（必填）</w:t>
      </w:r>
      <w:r>
        <w:rPr>
          <w:rFonts w:hint="eastAsia" w:eastAsia="楷体" w:cs="Times New Roman"/>
          <w:color w:val="auto"/>
          <w:sz w:val="32"/>
          <w:szCs w:val="32"/>
          <w:lang w:val="en-US" w:eastAsia="zh-CN"/>
        </w:rPr>
        <w:t>（页码）</w:t>
      </w:r>
    </w:p>
    <w:p w14:paraId="23EFE0E1">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微软雅黑" w:cs="Times New Roman"/>
          <w:color w:val="auto"/>
          <w:kern w:val="0"/>
          <w:sz w:val="32"/>
          <w:szCs w:val="32"/>
          <w:lang w:val="en-US" w:eastAsia="zh-CN"/>
        </w:rPr>
        <w:t>Ⅱ</w:t>
      </w:r>
      <w:r>
        <w:rPr>
          <w:rFonts w:hint="default" w:ascii="Times New Roman" w:hAnsi="Times New Roman" w:eastAsia="黑体"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eastAsia="zh-CN"/>
        </w:rPr>
        <w:t>基本材料</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kern w:val="0"/>
          <w:sz w:val="32"/>
          <w:szCs w:val="32"/>
          <w:lang w:val="en-US" w:eastAsia="zh-CN"/>
        </w:rPr>
        <w:t xml:space="preserve"> </w:t>
      </w:r>
      <w:r>
        <w:rPr>
          <w:rFonts w:hint="eastAsia" w:eastAsia="楷体" w:cs="Times New Roman"/>
          <w:color w:val="auto"/>
          <w:sz w:val="32"/>
          <w:szCs w:val="32"/>
          <w:lang w:val="en-US" w:eastAsia="zh-CN"/>
        </w:rPr>
        <w:t>（页码）</w:t>
      </w:r>
      <w:r>
        <w:rPr>
          <w:rFonts w:hint="default" w:ascii="Times New Roman" w:hAnsi="Times New Roman" w:eastAsia="黑体" w:cs="Times New Roman"/>
          <w:color w:val="auto"/>
          <w:kern w:val="0"/>
          <w:sz w:val="32"/>
          <w:szCs w:val="32"/>
          <w:lang w:val="en-US" w:eastAsia="zh-CN"/>
        </w:rPr>
        <w:t xml:space="preserve"> </w:t>
      </w:r>
    </w:p>
    <w:p w14:paraId="61D4C60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一、大型活动总体方案</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4C036D8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963" w:leftChars="301" w:right="0" w:rightChars="0" w:firstLine="323" w:firstLineChars="101"/>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（一）工作方案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07012A1F">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（二）经费预算</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4E6EF8DD">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（三）预期效益</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17C7CF21">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（四）宣传方案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406D89AE">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（五）医疗救助预案·················</w:t>
      </w:r>
      <w:r>
        <w:rPr>
          <w:rFonts w:hint="eastAsia" w:eastAsia="楷体" w:cs="Times New Roman"/>
          <w:color w:val="auto"/>
          <w:sz w:val="32"/>
          <w:szCs w:val="32"/>
          <w:lang w:val="en-US" w:eastAsia="zh-CN"/>
        </w:rPr>
        <w:t>（页码）</w:t>
      </w:r>
    </w:p>
    <w:p w14:paraId="7FF564D7">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（六）突发事件应急预案············</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65AD9C1D">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eastAsia"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（七）安全保障方案··················</w:t>
      </w:r>
      <w:r>
        <w:rPr>
          <w:rFonts w:hint="eastAsia" w:eastAsia="楷体" w:cs="Times New Roman"/>
          <w:color w:val="auto"/>
          <w:sz w:val="32"/>
          <w:szCs w:val="32"/>
          <w:lang w:val="en-US" w:eastAsia="zh-CN"/>
        </w:rPr>
        <w:t>（页码）</w:t>
      </w:r>
    </w:p>
    <w:p w14:paraId="0AF88200">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jc w:val="left"/>
        <w:textAlignment w:val="auto"/>
        <w:outlineLvl w:val="9"/>
        <w:rPr>
          <w:rFonts w:hint="default" w:ascii="Times New Roman" w:hAnsi="Times New Roman" w:eastAsia="楷体" w:cs="Times New Roman"/>
          <w:color w:val="auto"/>
          <w:kern w:val="0"/>
          <w:sz w:val="28"/>
          <w:szCs w:val="28"/>
          <w:lang w:val="en-US" w:eastAsia="zh-CN"/>
        </w:rPr>
      </w:pPr>
      <w:r>
        <w:rPr>
          <w:rFonts w:hint="eastAsia"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lang w:val="en-US" w:eastAsia="zh-CN"/>
        </w:rPr>
        <w:t>二、活动安全生产承诺书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6098F7B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三、历史相关材料</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7B495054">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四、授权证明材料</w:t>
      </w:r>
      <w:r>
        <w:rPr>
          <w:rFonts w:hint="default" w:ascii="Times New Roman" w:hAnsi="Times New Roman" w:eastAsia="仿宋_GB2312" w:cs="Times New Roman"/>
          <w:color w:val="auto"/>
          <w:sz w:val="32"/>
          <w:szCs w:val="32"/>
          <w:lang w:val="en-US" w:eastAsia="zh-CN"/>
        </w:rPr>
        <w:t>······· ··</w:t>
      </w:r>
      <w:r>
        <w:rPr>
          <w:rFonts w:hint="eastAsia" w:eastAsia="楷体" w:cs="Times New Roman"/>
          <w:color w:val="auto"/>
          <w:sz w:val="32"/>
          <w:szCs w:val="32"/>
          <w:lang w:val="en-US" w:eastAsia="zh-CN"/>
        </w:rPr>
        <w:t>（页码）</w:t>
      </w:r>
    </w:p>
    <w:p w14:paraId="44691D80">
      <w:pPr>
        <w:keepNext w:val="0"/>
        <w:keepLines w:val="0"/>
        <w:pageBreakBefore w:val="0"/>
        <w:widowControl w:val="0"/>
        <w:kinsoku/>
        <w:wordWrap/>
        <w:overflowPunct/>
        <w:topLinePunct w:val="0"/>
        <w:autoSpaceDE/>
        <w:autoSpaceDN/>
        <w:bidi w:val="0"/>
        <w:spacing w:beforeLines="0" w:beforeAutospacing="0" w:afterLines="0" w:afterAutospacing="0" w:line="600" w:lineRule="exact"/>
        <w:ind w:right="0" w:right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微软雅黑" w:cs="Times New Roman"/>
          <w:color w:val="auto"/>
          <w:kern w:val="0"/>
          <w:sz w:val="32"/>
          <w:szCs w:val="32"/>
          <w:lang w:val="en-US" w:eastAsia="zh-CN"/>
        </w:rPr>
        <w:t>Ⅲ</w:t>
      </w:r>
      <w:r>
        <w:rPr>
          <w:rFonts w:hint="eastAsia" w:ascii="Times New Roman" w:hAnsi="Times New Roman" w:eastAsia="微软雅黑" w:cs="Times New Roman"/>
          <w:color w:val="auto"/>
          <w:kern w:val="0"/>
          <w:sz w:val="32"/>
          <w:szCs w:val="32"/>
          <w:lang w:val="en-US" w:eastAsia="zh-CN"/>
        </w:rPr>
        <w:t>.</w:t>
      </w:r>
      <w:r>
        <w:rPr>
          <w:rFonts w:hint="eastAsia" w:eastAsia="黑体" w:cs="Times New Roman"/>
          <w:color w:val="auto"/>
          <w:kern w:val="0"/>
          <w:sz w:val="32"/>
          <w:szCs w:val="32"/>
          <w:lang w:val="en-US" w:eastAsia="zh-CN"/>
        </w:rPr>
        <w:t>市场主体或社会团体需</w:t>
      </w:r>
      <w:r>
        <w:rPr>
          <w:rFonts w:hint="default" w:ascii="Times New Roman" w:hAnsi="Times New Roman" w:eastAsia="黑体" w:cs="Times New Roman"/>
          <w:color w:val="auto"/>
          <w:kern w:val="0"/>
          <w:sz w:val="32"/>
          <w:szCs w:val="32"/>
          <w:lang w:val="en-US" w:eastAsia="zh-CN"/>
        </w:rPr>
        <w:t>补充</w:t>
      </w:r>
      <w:r>
        <w:rPr>
          <w:rFonts w:hint="eastAsia" w:eastAsia="黑体" w:cs="Times New Roman"/>
          <w:color w:val="auto"/>
          <w:kern w:val="0"/>
          <w:sz w:val="32"/>
          <w:szCs w:val="32"/>
          <w:lang w:val="en-US" w:eastAsia="zh-CN"/>
        </w:rPr>
        <w:t>的</w:t>
      </w:r>
      <w:r>
        <w:rPr>
          <w:rFonts w:hint="default" w:ascii="Times New Roman" w:hAnsi="Times New Roman" w:eastAsia="黑体" w:cs="Times New Roman"/>
          <w:color w:val="auto"/>
          <w:kern w:val="0"/>
          <w:sz w:val="32"/>
          <w:szCs w:val="32"/>
          <w:lang w:val="en-US" w:eastAsia="zh-CN"/>
        </w:rPr>
        <w:t>材料</w:t>
      </w:r>
      <w:r>
        <w:rPr>
          <w:rFonts w:hint="default" w:ascii="Times New Roman" w:hAnsi="Times New Roman" w:eastAsia="仿宋_GB2312" w:cs="Times New Roman"/>
          <w:color w:val="auto"/>
          <w:kern w:val="0"/>
          <w:sz w:val="28"/>
          <w:szCs w:val="28"/>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kern w:val="0"/>
          <w:sz w:val="28"/>
          <w:szCs w:val="28"/>
          <w:lang w:val="en-US" w:eastAsia="zh-CN"/>
        </w:rPr>
        <w:t xml:space="preserve">· </w:t>
      </w:r>
    </w:p>
    <w:p w14:paraId="1D97A2D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五、主办方法定代表人、主要负责人身份证件或登记、注册的证明材料及复印件</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4C9D779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w w:val="98"/>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w w:val="98"/>
          <w:kern w:val="2"/>
          <w:sz w:val="32"/>
          <w:szCs w:val="32"/>
          <w:lang w:val="en-US" w:eastAsia="zh-CN" w:bidi="ar-SA"/>
        </w:rPr>
        <w:t>近一年纳税凭证和社会保障金缴费凭证</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w w:val="98"/>
          <w:sz w:val="32"/>
          <w:szCs w:val="32"/>
          <w:lang w:val="en-US" w:eastAsia="zh-CN"/>
        </w:rPr>
        <w:t>··</w:t>
      </w:r>
      <w:r>
        <w:rPr>
          <w:rFonts w:hint="eastAsia" w:eastAsia="楷体" w:cs="Times New Roman"/>
          <w:color w:val="auto"/>
          <w:w w:val="98"/>
          <w:sz w:val="32"/>
          <w:szCs w:val="32"/>
          <w:lang w:val="en-US" w:eastAsia="zh-CN"/>
        </w:rPr>
        <w:t>（页码）</w:t>
      </w:r>
    </w:p>
    <w:p w14:paraId="21B3561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七、近三年无失信、违法违规</w:t>
      </w:r>
      <w:r>
        <w:rPr>
          <w:rFonts w:hint="eastAsia" w:eastAsia="楷体" w:cs="Times New Roman"/>
          <w:color w:val="auto"/>
          <w:kern w:val="2"/>
          <w:sz w:val="32"/>
          <w:szCs w:val="32"/>
          <w:lang w:val="en-US" w:eastAsia="zh-CN" w:bidi="ar-SA"/>
        </w:rPr>
        <w:t>等</w:t>
      </w:r>
      <w:r>
        <w:rPr>
          <w:rFonts w:hint="default" w:ascii="Times New Roman" w:hAnsi="Times New Roman" w:eastAsia="楷体" w:cs="Times New Roman"/>
          <w:color w:val="auto"/>
          <w:kern w:val="2"/>
          <w:sz w:val="32"/>
          <w:szCs w:val="32"/>
          <w:lang w:val="en-US" w:eastAsia="zh-CN" w:bidi="ar-SA"/>
        </w:rPr>
        <w:t>行为证明</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442B73FE">
      <w:pPr>
        <w:keepNext w:val="0"/>
        <w:keepLines w:val="0"/>
        <w:pageBreakBefore w:val="0"/>
        <w:widowControl/>
        <w:kinsoku/>
        <w:wordWrap/>
        <w:overflowPunct/>
        <w:topLinePunct w:val="0"/>
        <w:autoSpaceDE/>
        <w:autoSpaceDN/>
        <w:bidi w:val="0"/>
        <w:adjustRightInd/>
        <w:snapToGrid/>
        <w:spacing w:beforeLines="0" w:afterLines="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八、《信用承诺书》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286D3B76">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left"/>
        <w:textAlignment w:val="auto"/>
        <w:rPr>
          <w:rFonts w:hint="default"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注：</w:t>
      </w:r>
      <w:r>
        <w:rPr>
          <w:rFonts w:hint="eastAsia" w:eastAsia="仿宋" w:cs="Times New Roman"/>
          <w:b/>
          <w:bCs/>
          <w:color w:val="auto"/>
          <w:kern w:val="0"/>
          <w:sz w:val="32"/>
          <w:szCs w:val="32"/>
          <w:lang w:val="en-US" w:eastAsia="zh-CN" w:bidi="ar-SA"/>
        </w:rPr>
        <w:t>部分内容暂时无法提供的，可容缺受理，需在活动举办前30天补充完整</w:t>
      </w:r>
    </w:p>
    <w:p w14:paraId="6FF8D61D">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三亚市旅游文化体育大型活动</w:t>
      </w:r>
      <w:r>
        <w:rPr>
          <w:rFonts w:hint="eastAsia" w:eastAsia="微软简标宋" w:cs="Times New Roman"/>
          <w:color w:val="auto"/>
          <w:sz w:val="44"/>
          <w:szCs w:val="44"/>
          <w:lang w:val="en-US" w:eastAsia="zh-CN"/>
        </w:rPr>
        <w:t>资金申报</w:t>
      </w:r>
      <w:r>
        <w:rPr>
          <w:rFonts w:hint="default" w:ascii="Times New Roman" w:hAnsi="Times New Roman" w:eastAsia="微软简标宋" w:cs="Times New Roman"/>
          <w:color w:val="auto"/>
          <w:sz w:val="44"/>
          <w:szCs w:val="44"/>
          <w:lang w:val="en-US" w:eastAsia="zh-CN"/>
        </w:rPr>
        <w:t>表</w:t>
      </w:r>
    </w:p>
    <w:p w14:paraId="40A5749C">
      <w:pPr>
        <w:pStyle w:val="2"/>
        <w:jc w:val="left"/>
        <w:rPr>
          <w:rFonts w:hint="default" w:ascii="Times New Roman" w:hAnsi="Times New Roman" w:cs="Times New Roman"/>
          <w:color w:val="auto"/>
          <w:sz w:val="28"/>
          <w:szCs w:val="28"/>
          <w:lang w:val="en-US" w:eastAsia="zh-CN"/>
        </w:rPr>
      </w:pPr>
    </w:p>
    <w:p w14:paraId="4761C9E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kern w:val="0"/>
          <w:sz w:val="24"/>
          <w:highlight w:val="none"/>
          <w:lang w:val="en-US" w:eastAsia="zh-CN"/>
        </w:rPr>
        <w:t>填写时间：                                     项目编码：</w:t>
      </w:r>
    </w:p>
    <w:tbl>
      <w:tblPr>
        <w:tblStyle w:val="4"/>
        <w:tblW w:w="9119" w:type="dxa"/>
        <w:jc w:val="center"/>
        <w:tblLayout w:type="fixed"/>
        <w:tblCellMar>
          <w:top w:w="0" w:type="dxa"/>
          <w:left w:w="108" w:type="dxa"/>
          <w:bottom w:w="0" w:type="dxa"/>
          <w:right w:w="108" w:type="dxa"/>
        </w:tblCellMar>
      </w:tblPr>
      <w:tblGrid>
        <w:gridCol w:w="518"/>
        <w:gridCol w:w="1972"/>
        <w:gridCol w:w="2075"/>
        <w:gridCol w:w="2110"/>
        <w:gridCol w:w="2444"/>
      </w:tblGrid>
      <w:tr w14:paraId="722A88AB">
        <w:tblPrEx>
          <w:tblCellMar>
            <w:top w:w="0" w:type="dxa"/>
            <w:left w:w="108" w:type="dxa"/>
            <w:bottom w:w="0" w:type="dxa"/>
            <w:right w:w="108" w:type="dxa"/>
          </w:tblCellMar>
        </w:tblPrEx>
        <w:trPr>
          <w:trHeight w:val="7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noWrap w:val="0"/>
            <w:vAlign w:val="center"/>
          </w:tcPr>
          <w:p w14:paraId="294784AD">
            <w:pPr>
              <w:widowControl/>
              <w:spacing w:line="560" w:lineRule="atLeas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活动名称</w:t>
            </w:r>
          </w:p>
        </w:tc>
        <w:tc>
          <w:tcPr>
            <w:tcW w:w="6629" w:type="dxa"/>
            <w:gridSpan w:val="3"/>
            <w:tcBorders>
              <w:top w:val="single" w:color="000000" w:sz="4" w:space="0"/>
              <w:left w:val="nil"/>
              <w:bottom w:val="single" w:color="000000" w:sz="4" w:space="0"/>
              <w:right w:val="single" w:color="000000" w:sz="4" w:space="0"/>
            </w:tcBorders>
            <w:noWrap w:val="0"/>
            <w:vAlign w:val="center"/>
          </w:tcPr>
          <w:p w14:paraId="5A916298">
            <w:pPr>
              <w:widowControl/>
              <w:spacing w:line="560" w:lineRule="atLeast"/>
              <w:jc w:val="center"/>
              <w:rPr>
                <w:rFonts w:hint="default" w:ascii="Times New Roman" w:hAnsi="Times New Roman" w:cs="Times New Roman"/>
                <w:color w:val="auto"/>
                <w:kern w:val="0"/>
                <w:sz w:val="28"/>
                <w:szCs w:val="28"/>
                <w:highlight w:val="none"/>
              </w:rPr>
            </w:pPr>
          </w:p>
        </w:tc>
      </w:tr>
      <w:tr w14:paraId="2A5D8FDA">
        <w:tblPrEx>
          <w:tblCellMar>
            <w:top w:w="0" w:type="dxa"/>
            <w:left w:w="108" w:type="dxa"/>
            <w:bottom w:w="0" w:type="dxa"/>
            <w:right w:w="108" w:type="dxa"/>
          </w:tblCellMar>
        </w:tblPrEx>
        <w:trPr>
          <w:trHeight w:val="818" w:hRule="atLeast"/>
          <w:jc w:val="center"/>
        </w:trPr>
        <w:tc>
          <w:tcPr>
            <w:tcW w:w="518" w:type="dxa"/>
            <w:vMerge w:val="restart"/>
            <w:tcBorders>
              <w:top w:val="nil"/>
              <w:left w:val="single" w:color="000000" w:sz="4" w:space="0"/>
              <w:bottom w:val="single" w:color="000000" w:sz="4" w:space="0"/>
              <w:right w:val="single" w:color="000000" w:sz="4" w:space="0"/>
            </w:tcBorders>
            <w:noWrap w:val="0"/>
            <w:vAlign w:val="center"/>
          </w:tcPr>
          <w:p w14:paraId="30FB8354">
            <w:pPr>
              <w:widowControl/>
              <w:spacing w:line="560" w:lineRule="atLeast"/>
              <w:jc w:val="center"/>
              <w:rPr>
                <w:rFonts w:hint="default" w:ascii="Times New Roman" w:hAnsi="Times New Roman" w:cs="Times New Roman"/>
                <w:color w:val="auto"/>
                <w:kern w:val="0"/>
                <w:sz w:val="28"/>
                <w:szCs w:val="28"/>
                <w:highlight w:val="none"/>
              </w:rPr>
            </w:pPr>
          </w:p>
          <w:p w14:paraId="7D304CAF">
            <w:pPr>
              <w:widowControl/>
              <w:spacing w:line="560" w:lineRule="atLeast"/>
              <w:jc w:val="center"/>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活动要素</w:t>
            </w:r>
          </w:p>
        </w:tc>
        <w:tc>
          <w:tcPr>
            <w:tcW w:w="1972" w:type="dxa"/>
            <w:tcBorders>
              <w:top w:val="single" w:color="000000" w:sz="4" w:space="0"/>
              <w:left w:val="nil"/>
              <w:bottom w:val="single" w:color="000000" w:sz="4" w:space="0"/>
              <w:right w:val="single" w:color="000000" w:sz="4" w:space="0"/>
            </w:tcBorders>
            <w:noWrap w:val="0"/>
            <w:vAlign w:val="center"/>
          </w:tcPr>
          <w:p w14:paraId="184E70A2">
            <w:pPr>
              <w:widowControl/>
              <w:spacing w:line="400" w:lineRule="exact"/>
              <w:ind w:firstLine="140"/>
              <w:jc w:val="center"/>
              <w:rPr>
                <w:rFonts w:hint="default" w:ascii="Times New Roman" w:hAnsi="Times New Roman" w:eastAsia="宋体" w:cs="Times New Roman"/>
                <w:b/>
                <w:bCs/>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举办时间</w:t>
            </w:r>
          </w:p>
        </w:tc>
        <w:tc>
          <w:tcPr>
            <w:tcW w:w="2075" w:type="dxa"/>
            <w:tcBorders>
              <w:top w:val="single" w:color="000000" w:sz="4" w:space="0"/>
              <w:left w:val="nil"/>
              <w:bottom w:val="single" w:color="000000" w:sz="4" w:space="0"/>
              <w:right w:val="single" w:color="000000" w:sz="4" w:space="0"/>
            </w:tcBorders>
            <w:noWrap w:val="0"/>
            <w:vAlign w:val="center"/>
          </w:tcPr>
          <w:p w14:paraId="51800B6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c>
          <w:tcPr>
            <w:tcW w:w="2110" w:type="dxa"/>
            <w:tcBorders>
              <w:top w:val="single" w:color="000000" w:sz="4" w:space="0"/>
              <w:left w:val="nil"/>
              <w:bottom w:val="single" w:color="000000" w:sz="4" w:space="0"/>
              <w:right w:val="single" w:color="000000" w:sz="4" w:space="0"/>
            </w:tcBorders>
            <w:noWrap w:val="0"/>
            <w:vAlign w:val="center"/>
          </w:tcPr>
          <w:p w14:paraId="01229F3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r>
              <w:rPr>
                <w:rFonts w:hint="default" w:ascii="Times New Roman" w:hAnsi="Times New Roman" w:cs="Times New Roman"/>
                <w:b/>
                <w:bCs/>
                <w:color w:val="auto"/>
                <w:kern w:val="0"/>
                <w:sz w:val="28"/>
                <w:szCs w:val="28"/>
                <w:highlight w:val="none"/>
                <w:lang w:val="en-US" w:eastAsia="zh-CN"/>
              </w:rPr>
              <w:t>举办地点</w:t>
            </w:r>
          </w:p>
        </w:tc>
        <w:tc>
          <w:tcPr>
            <w:tcW w:w="2444" w:type="dxa"/>
            <w:tcBorders>
              <w:top w:val="single" w:color="000000" w:sz="4" w:space="0"/>
              <w:left w:val="nil"/>
              <w:bottom w:val="single" w:color="000000" w:sz="4" w:space="0"/>
              <w:right w:val="single" w:color="000000" w:sz="4" w:space="0"/>
            </w:tcBorders>
            <w:noWrap w:val="0"/>
            <w:vAlign w:val="center"/>
          </w:tcPr>
          <w:p w14:paraId="15A3B4E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006E7F9D">
        <w:tblPrEx>
          <w:tblCellMar>
            <w:top w:w="0" w:type="dxa"/>
            <w:left w:w="108" w:type="dxa"/>
            <w:bottom w:w="0" w:type="dxa"/>
            <w:right w:w="108" w:type="dxa"/>
          </w:tblCellMar>
        </w:tblPrEx>
        <w:trPr>
          <w:trHeight w:val="58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71BD4F99">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45CD2441">
            <w:pPr>
              <w:widowControl/>
              <w:spacing w:line="400" w:lineRule="exact"/>
              <w:ind w:firstLine="140"/>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主办单位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49A6827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18"/>
                <w:szCs w:val="28"/>
                <w:highlight w:val="none"/>
              </w:rPr>
            </w:pPr>
          </w:p>
        </w:tc>
      </w:tr>
      <w:tr w14:paraId="1A4F8953">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0A822FF6">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6D41D3EE">
            <w:pPr>
              <w:widowControl/>
              <w:spacing w:line="400" w:lineRule="exact"/>
              <w:jc w:val="center"/>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lang w:val="en-US" w:eastAsia="zh-CN"/>
              </w:rPr>
              <w:t>承办单位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4F4CD73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0A6EF6A6">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4170AA61">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6ED83D47">
            <w:pPr>
              <w:widowControl/>
              <w:spacing w:line="400" w:lineRule="exact"/>
              <w:jc w:val="center"/>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cs="Times New Roman"/>
                <w:b/>
                <w:bCs/>
                <w:color w:val="auto"/>
                <w:spacing w:val="-20"/>
                <w:kern w:val="0"/>
                <w:sz w:val="28"/>
                <w:szCs w:val="28"/>
                <w:highlight w:val="none"/>
                <w:lang w:val="en-US" w:eastAsia="zh-CN"/>
              </w:rPr>
              <w:t>活动规模</w:t>
            </w:r>
          </w:p>
        </w:tc>
        <w:tc>
          <w:tcPr>
            <w:tcW w:w="6629" w:type="dxa"/>
            <w:gridSpan w:val="3"/>
            <w:tcBorders>
              <w:top w:val="single" w:color="000000" w:sz="4" w:space="0"/>
              <w:left w:val="nil"/>
              <w:bottom w:val="single" w:color="000000" w:sz="4" w:space="0"/>
              <w:right w:val="single" w:color="000000" w:sz="4" w:space="0"/>
            </w:tcBorders>
            <w:noWrap w:val="0"/>
            <w:vAlign w:val="center"/>
          </w:tcPr>
          <w:p w14:paraId="6E3BC2D3">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1.直接参与人数</w:t>
            </w:r>
            <w:r>
              <w:rPr>
                <w:rFonts w:hint="eastAsia" w:eastAsia="宋体" w:cs="Times New Roman"/>
                <w:color w:val="auto"/>
                <w:kern w:val="0"/>
                <w:sz w:val="28"/>
                <w:szCs w:val="28"/>
                <w:lang w:val="en-US" w:eastAsia="zh-CN"/>
              </w:rPr>
              <w:t>（</w:t>
            </w:r>
            <w:r>
              <w:rPr>
                <w:rFonts w:hint="eastAsia" w:cs="Times New Roman"/>
                <w:color w:val="auto"/>
                <w:kern w:val="0"/>
                <w:sz w:val="28"/>
                <w:szCs w:val="28"/>
                <w:lang w:val="en-US" w:eastAsia="zh-CN"/>
              </w:rPr>
              <w:t>含</w:t>
            </w:r>
            <w:r>
              <w:rPr>
                <w:rFonts w:hint="default" w:eastAsia="宋体" w:cs="Times New Roman"/>
                <w:color w:val="auto"/>
                <w:kern w:val="0"/>
                <w:sz w:val="28"/>
                <w:szCs w:val="28"/>
                <w:lang w:val="en-US" w:eastAsia="zh-CN"/>
              </w:rPr>
              <w:t>参邀嘉宾、选手、工作人员</w:t>
            </w:r>
            <w:r>
              <w:rPr>
                <w:rFonts w:hint="default" w:cs="Times New Roman"/>
                <w:color w:val="auto"/>
                <w:kern w:val="0"/>
                <w:sz w:val="28"/>
                <w:szCs w:val="28"/>
                <w:lang w:val="en-US" w:eastAsia="zh-CN"/>
              </w:rPr>
              <w:t>等</w:t>
            </w:r>
            <w:r>
              <w:rPr>
                <w:rFonts w:hint="eastAsia" w:cs="Times New Roman"/>
                <w:color w:val="auto"/>
                <w:kern w:val="0"/>
                <w:sz w:val="28"/>
                <w:szCs w:val="28"/>
                <w:lang w:val="en-US" w:eastAsia="zh-CN"/>
              </w:rPr>
              <w:t>）：</w:t>
            </w:r>
          </w:p>
          <w:p w14:paraId="4A3859ED">
            <w:pPr>
              <w:keepNext w:val="0"/>
              <w:keepLines w:val="0"/>
              <w:pageBreakBefore w:val="0"/>
              <w:widowControl/>
              <w:kinsoku/>
              <w:wordWrap/>
              <w:overflowPunct/>
              <w:topLinePunct w:val="0"/>
              <w:autoSpaceDE/>
              <w:autoSpaceDN/>
              <w:bidi w:val="0"/>
              <w:adjustRightInd/>
              <w:snapToGrid/>
              <w:spacing w:line="440" w:lineRule="exact"/>
              <w:jc w:val="both"/>
              <w:rPr>
                <w:rFonts w:hint="default" w:cs="Times New Roman"/>
                <w:color w:val="auto"/>
                <w:kern w:val="0"/>
                <w:sz w:val="28"/>
                <w:szCs w:val="28"/>
                <w:u w:val="single"/>
                <w:lang w:val="en-US" w:eastAsia="zh-CN"/>
              </w:rPr>
            </w:pPr>
            <w:r>
              <w:rPr>
                <w:rFonts w:hint="eastAsia" w:cs="Times New Roman"/>
                <w:color w:val="auto"/>
                <w:kern w:val="0"/>
                <w:sz w:val="28"/>
                <w:szCs w:val="28"/>
                <w:u w:val="single"/>
                <w:lang w:val="en-US" w:eastAsia="zh-CN"/>
              </w:rPr>
              <w:t xml:space="preserve">                                 </w:t>
            </w:r>
          </w:p>
          <w:p w14:paraId="4C2B43F2">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 xml:space="preserve">2.吸引客流（含亲友团、啦啦队、粉丝、观众等）： </w:t>
            </w:r>
          </w:p>
          <w:p w14:paraId="5A9BE291">
            <w:pPr>
              <w:pStyle w:val="2"/>
              <w:rPr>
                <w:rFonts w:hint="default"/>
                <w:lang w:val="en-US"/>
              </w:rPr>
            </w:pPr>
            <w:r>
              <w:rPr>
                <w:rFonts w:hint="eastAsia" w:cs="Times New Roman"/>
                <w:color w:val="auto"/>
                <w:kern w:val="0"/>
                <w:sz w:val="28"/>
                <w:szCs w:val="28"/>
                <w:lang w:val="en-US" w:eastAsia="zh-CN"/>
              </w:rPr>
              <w:t xml:space="preserve"> </w:t>
            </w:r>
            <w:r>
              <w:rPr>
                <w:rFonts w:hint="eastAsia" w:cs="Times New Roman"/>
                <w:color w:val="auto"/>
                <w:kern w:val="0"/>
                <w:sz w:val="28"/>
                <w:szCs w:val="28"/>
                <w:u w:val="single"/>
                <w:lang w:val="en-US" w:eastAsia="zh-CN"/>
              </w:rPr>
              <w:t xml:space="preserve">                                 </w:t>
            </w:r>
          </w:p>
        </w:tc>
      </w:tr>
      <w:tr w14:paraId="6ABE421E">
        <w:tblPrEx>
          <w:tblCellMar>
            <w:top w:w="0" w:type="dxa"/>
            <w:left w:w="108" w:type="dxa"/>
            <w:bottom w:w="0" w:type="dxa"/>
            <w:right w:w="108" w:type="dxa"/>
          </w:tblCellMar>
        </w:tblPrEx>
        <w:trPr>
          <w:trHeight w:val="1040"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4B6C21D2">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1068DE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Times New Roman"/>
                <w:b/>
                <w:bCs/>
                <w:color w:val="auto"/>
                <w:kern w:val="0"/>
                <w:sz w:val="28"/>
                <w:szCs w:val="28"/>
                <w:lang w:val="en-US" w:eastAsia="zh-CN"/>
              </w:rPr>
            </w:pPr>
            <w:r>
              <w:rPr>
                <w:rFonts w:hint="eastAsia" w:cs="Times New Roman"/>
                <w:b/>
                <w:bCs/>
                <w:color w:val="auto"/>
                <w:kern w:val="0"/>
                <w:sz w:val="28"/>
                <w:szCs w:val="28"/>
                <w:lang w:val="en-US" w:eastAsia="zh-CN"/>
              </w:rPr>
              <w:t>举办届数</w:t>
            </w:r>
          </w:p>
        </w:tc>
        <w:tc>
          <w:tcPr>
            <w:tcW w:w="6629" w:type="dxa"/>
            <w:gridSpan w:val="3"/>
            <w:tcBorders>
              <w:top w:val="single" w:color="000000" w:sz="4" w:space="0"/>
              <w:left w:val="nil"/>
              <w:bottom w:val="single" w:color="000000" w:sz="4" w:space="0"/>
              <w:right w:val="single" w:color="000000" w:sz="4" w:space="0"/>
            </w:tcBorders>
            <w:noWrap w:val="0"/>
            <w:vAlign w:val="center"/>
          </w:tcPr>
          <w:p w14:paraId="763E719D">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eastAsia" w:cs="Times New Roman"/>
                <w:color w:val="auto"/>
                <w:sz w:val="28"/>
                <w:szCs w:val="28"/>
                <w:lang w:val="en-US" w:eastAsia="zh-CN"/>
              </w:rPr>
            </w:pPr>
          </w:p>
        </w:tc>
      </w:tr>
      <w:tr w14:paraId="5B30606E">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72704864">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36EC1D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Times New Roman"/>
                <w:b/>
                <w:bCs/>
                <w:color w:val="auto"/>
                <w:kern w:val="0"/>
                <w:sz w:val="28"/>
                <w:szCs w:val="28"/>
                <w:lang w:val="en-US" w:eastAsia="zh-CN"/>
              </w:rPr>
            </w:pPr>
            <w:r>
              <w:rPr>
                <w:rFonts w:hint="eastAsia" w:cs="Times New Roman"/>
                <w:b/>
                <w:bCs/>
                <w:color w:val="auto"/>
                <w:kern w:val="0"/>
                <w:sz w:val="28"/>
                <w:szCs w:val="28"/>
                <w:lang w:val="en-US" w:eastAsia="zh-CN"/>
              </w:rPr>
              <w:t>拟出席</w:t>
            </w:r>
          </w:p>
          <w:p w14:paraId="2ADAFB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pacing w:val="-20"/>
                <w:kern w:val="0"/>
                <w:szCs w:val="21"/>
                <w:highlight w:val="none"/>
              </w:rPr>
            </w:pPr>
            <w:r>
              <w:rPr>
                <w:rFonts w:hint="eastAsia" w:cs="Times New Roman"/>
                <w:b/>
                <w:bCs/>
                <w:color w:val="auto"/>
                <w:kern w:val="0"/>
                <w:sz w:val="28"/>
                <w:szCs w:val="28"/>
                <w:lang w:val="en-US" w:eastAsia="zh-CN"/>
              </w:rPr>
              <w:t>重要嘉宾</w:t>
            </w:r>
          </w:p>
        </w:tc>
        <w:tc>
          <w:tcPr>
            <w:tcW w:w="6629" w:type="dxa"/>
            <w:gridSpan w:val="3"/>
            <w:tcBorders>
              <w:top w:val="single" w:color="000000" w:sz="4" w:space="0"/>
              <w:left w:val="nil"/>
              <w:bottom w:val="single" w:color="000000" w:sz="4" w:space="0"/>
              <w:right w:val="single" w:color="000000" w:sz="4" w:space="0"/>
            </w:tcBorders>
            <w:noWrap w:val="0"/>
            <w:vAlign w:val="center"/>
          </w:tcPr>
          <w:p w14:paraId="1D55EA0C">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cs="Times New Roman"/>
                <w:color w:val="auto"/>
                <w:sz w:val="28"/>
                <w:szCs w:val="28"/>
                <w:lang w:val="en-US" w:eastAsia="zh-CN"/>
              </w:rPr>
            </w:pPr>
          </w:p>
        </w:tc>
      </w:tr>
      <w:tr w14:paraId="239A8811">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1C98F00C">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30E47F97">
            <w:pPr>
              <w:keepNext w:val="0"/>
              <w:keepLines w:val="0"/>
              <w:pageBreakBefore w:val="0"/>
              <w:widowControl/>
              <w:kinsoku/>
              <w:wordWrap/>
              <w:overflowPunct/>
              <w:topLinePunct w:val="0"/>
              <w:autoSpaceDE/>
              <w:autoSpaceDN/>
              <w:bidi w:val="0"/>
              <w:adjustRightInd/>
              <w:snapToGrid/>
              <w:spacing w:line="360" w:lineRule="exact"/>
              <w:ind w:firstLine="142"/>
              <w:jc w:val="both"/>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活动总预算</w:t>
            </w:r>
          </w:p>
          <w:p w14:paraId="4795891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color w:val="auto"/>
                <w:kern w:val="0"/>
                <w:sz w:val="28"/>
                <w:szCs w:val="28"/>
                <w:highlight w:val="none"/>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000000" w:sz="4" w:space="0"/>
              <w:left w:val="nil"/>
              <w:bottom w:val="single" w:color="000000" w:sz="4" w:space="0"/>
              <w:right w:val="single" w:color="000000" w:sz="4" w:space="0"/>
            </w:tcBorders>
            <w:noWrap w:val="0"/>
            <w:vAlign w:val="center"/>
          </w:tcPr>
          <w:p w14:paraId="703C07FD">
            <w:pPr>
              <w:keepNext w:val="0"/>
              <w:keepLines w:val="0"/>
              <w:pageBreakBefore w:val="0"/>
              <w:widowControl/>
              <w:numPr>
                <w:ilvl w:val="0"/>
                <w:numId w:val="0"/>
              </w:numPr>
              <w:kinsoku/>
              <w:wordWrap/>
              <w:overflowPunct/>
              <w:topLinePunct w:val="0"/>
              <w:autoSpaceDE/>
              <w:autoSpaceDN/>
              <w:bidi w:val="0"/>
              <w:adjustRightInd/>
              <w:snapToGrid/>
              <w:spacing w:line="440" w:lineRule="exact"/>
              <w:rPr>
                <w:rFonts w:hint="eastAsia" w:cs="Times New Roman"/>
                <w:color w:val="auto"/>
                <w:sz w:val="28"/>
                <w:szCs w:val="28"/>
                <w:u w:val="none"/>
                <w:lang w:val="en-US" w:eastAsia="zh-CN"/>
              </w:rPr>
            </w:pPr>
            <w:r>
              <w:rPr>
                <w:rFonts w:hint="eastAsia" w:cs="Times New Roman"/>
                <w:color w:val="auto"/>
                <w:sz w:val="28"/>
                <w:szCs w:val="28"/>
                <w:lang w:val="en-US" w:eastAsia="zh-CN"/>
              </w:rPr>
              <w:t>1.支出总预算：</w:t>
            </w:r>
            <w:r>
              <w:rPr>
                <w:rFonts w:hint="eastAsia" w:cs="Times New Roman"/>
                <w:color w:val="auto"/>
                <w:sz w:val="28"/>
                <w:szCs w:val="28"/>
                <w:u w:val="single"/>
                <w:lang w:val="en-US" w:eastAsia="zh-CN"/>
              </w:rPr>
              <w:t xml:space="preserve">           </w:t>
            </w:r>
            <w:r>
              <w:rPr>
                <w:rFonts w:hint="eastAsia" w:cs="Times New Roman"/>
                <w:color w:val="auto"/>
                <w:sz w:val="28"/>
                <w:szCs w:val="28"/>
                <w:u w:val="none"/>
                <w:lang w:val="en-US" w:eastAsia="zh-CN"/>
              </w:rPr>
              <w:t>万元；</w:t>
            </w:r>
          </w:p>
          <w:p w14:paraId="2D15A08D">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ascii="Times New Roman" w:hAnsi="Times New Roman" w:cs="Times New Roman"/>
                <w:b/>
                <w:bCs/>
                <w:color w:val="auto"/>
                <w:kern w:val="0"/>
                <w:sz w:val="28"/>
                <w:szCs w:val="28"/>
                <w:highlight w:val="none"/>
              </w:rPr>
            </w:pPr>
            <w:r>
              <w:rPr>
                <w:rFonts w:hint="eastAsia" w:cs="Times New Roman"/>
                <w:color w:val="auto"/>
                <w:sz w:val="28"/>
                <w:szCs w:val="28"/>
                <w:lang w:val="en-US" w:eastAsia="zh-CN"/>
              </w:rPr>
              <w:t>2.收入总预算：</w:t>
            </w:r>
            <w:r>
              <w:rPr>
                <w:rFonts w:hint="eastAsia" w:cs="Times New Roman"/>
                <w:color w:val="auto"/>
                <w:sz w:val="28"/>
                <w:szCs w:val="28"/>
                <w:u w:val="single"/>
                <w:lang w:val="en-US" w:eastAsia="zh-CN"/>
              </w:rPr>
              <w:t xml:space="preserve">           </w:t>
            </w:r>
            <w:r>
              <w:rPr>
                <w:rFonts w:hint="eastAsia" w:cs="Times New Roman"/>
                <w:color w:val="auto"/>
                <w:sz w:val="28"/>
                <w:szCs w:val="28"/>
                <w:lang w:val="en-US" w:eastAsia="zh-CN"/>
              </w:rPr>
              <w:t>万元</w:t>
            </w:r>
          </w:p>
        </w:tc>
      </w:tr>
      <w:tr w14:paraId="52961DD2">
        <w:tblPrEx>
          <w:tblCellMar>
            <w:top w:w="0" w:type="dxa"/>
            <w:left w:w="108" w:type="dxa"/>
            <w:bottom w:w="0" w:type="dxa"/>
            <w:right w:w="108" w:type="dxa"/>
          </w:tblCellMar>
        </w:tblPrEx>
        <w:trPr>
          <w:trHeight w:val="1305" w:hRule="atLeast"/>
          <w:jc w:val="center"/>
        </w:trPr>
        <w:tc>
          <w:tcPr>
            <w:tcW w:w="2490" w:type="dxa"/>
            <w:gridSpan w:val="2"/>
            <w:tcBorders>
              <w:top w:val="single" w:color="000000" w:sz="4" w:space="0"/>
              <w:left w:val="single" w:color="000000" w:sz="4" w:space="0"/>
              <w:right w:val="single" w:color="auto" w:sz="4" w:space="0"/>
            </w:tcBorders>
            <w:noWrap w:val="0"/>
            <w:vAlign w:val="center"/>
          </w:tcPr>
          <w:p w14:paraId="21E599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申</w:t>
            </w:r>
            <w:r>
              <w:rPr>
                <w:rFonts w:hint="eastAsia" w:ascii="Times New Roman" w:hAnsi="Times New Roman" w:cs="Times New Roman"/>
                <w:b/>
                <w:bCs/>
                <w:color w:val="auto"/>
                <w:spacing w:val="-20"/>
                <w:kern w:val="0"/>
                <w:sz w:val="28"/>
                <w:szCs w:val="28"/>
                <w:highlight w:val="none"/>
                <w:lang w:val="en-US" w:eastAsia="zh-CN"/>
              </w:rPr>
              <w:t>报</w:t>
            </w:r>
            <w:r>
              <w:rPr>
                <w:rFonts w:hint="default" w:ascii="Times New Roman" w:hAnsi="Times New Roman" w:cs="Times New Roman"/>
                <w:b/>
                <w:bCs/>
                <w:color w:val="auto"/>
                <w:spacing w:val="-20"/>
                <w:kern w:val="0"/>
                <w:sz w:val="28"/>
                <w:szCs w:val="28"/>
                <w:highlight w:val="none"/>
              </w:rPr>
              <w:t>金额</w:t>
            </w:r>
          </w:p>
          <w:p w14:paraId="01FA6000">
            <w:pPr>
              <w:widowControl/>
              <w:spacing w:line="360" w:lineRule="exact"/>
              <w:jc w:val="center"/>
              <w:rPr>
                <w:rFonts w:hint="eastAsia" w:cs="Times New Roman"/>
                <w:b/>
                <w:bCs/>
                <w:color w:val="auto"/>
                <w:kern w:val="0"/>
                <w:sz w:val="28"/>
                <w:szCs w:val="28"/>
                <w:highlight w:val="none"/>
                <w:lang w:val="en-US" w:eastAsia="zh-CN"/>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67FB2DDD">
            <w:pPr>
              <w:widowControl/>
              <w:spacing w:line="360" w:lineRule="exact"/>
              <w:jc w:val="left"/>
              <w:rPr>
                <w:rFonts w:hint="default" w:ascii="Times New Roman" w:hAnsi="Times New Roman" w:cs="Times New Roman"/>
                <w:color w:val="auto"/>
                <w:kern w:val="0"/>
                <w:sz w:val="28"/>
                <w:szCs w:val="20"/>
                <w:highlight w:val="none"/>
              </w:rPr>
            </w:pPr>
            <w:r>
              <w:rPr>
                <w:rFonts w:hint="default" w:ascii="Times New Roman" w:hAnsi="Times New Roman" w:cs="Times New Roman"/>
                <w:color w:val="auto"/>
                <w:kern w:val="0"/>
                <w:sz w:val="28"/>
                <w:szCs w:val="20"/>
                <w:highlight w:val="none"/>
              </w:rPr>
              <w:t>（</w:t>
            </w:r>
            <w:r>
              <w:rPr>
                <w:rFonts w:hint="default" w:ascii="Times New Roman" w:hAnsi="Times New Roman" w:cs="Times New Roman"/>
                <w:color w:val="auto"/>
                <w:kern w:val="0"/>
                <w:sz w:val="28"/>
                <w:szCs w:val="20"/>
                <w:highlight w:val="none"/>
                <w:lang w:val="en-US" w:eastAsia="zh-CN"/>
              </w:rPr>
              <w:t>注：</w:t>
            </w:r>
            <w:r>
              <w:rPr>
                <w:rFonts w:hint="eastAsia" w:cs="Times New Roman"/>
                <w:color w:val="auto"/>
                <w:kern w:val="0"/>
                <w:sz w:val="28"/>
                <w:szCs w:val="20"/>
                <w:highlight w:val="none"/>
                <w:lang w:val="en-US" w:eastAsia="zh-CN"/>
              </w:rPr>
              <w:t>奖励资金需根据绩效评分标准预估</w:t>
            </w:r>
            <w:r>
              <w:rPr>
                <w:rFonts w:hint="default" w:ascii="Times New Roman" w:hAnsi="Times New Roman" w:cs="Times New Roman"/>
                <w:color w:val="auto"/>
                <w:kern w:val="0"/>
                <w:sz w:val="28"/>
                <w:szCs w:val="20"/>
                <w:highlight w:val="none"/>
              </w:rPr>
              <w:t>）</w:t>
            </w:r>
          </w:p>
        </w:tc>
      </w:tr>
      <w:tr w14:paraId="15A227A9">
        <w:tblPrEx>
          <w:tblCellMar>
            <w:top w:w="0" w:type="dxa"/>
            <w:left w:w="108" w:type="dxa"/>
            <w:bottom w:w="0" w:type="dxa"/>
            <w:right w:w="108" w:type="dxa"/>
          </w:tblCellMar>
        </w:tblPrEx>
        <w:trPr>
          <w:trHeight w:val="1251" w:hRule="atLeast"/>
          <w:jc w:val="center"/>
        </w:trPr>
        <w:tc>
          <w:tcPr>
            <w:tcW w:w="518" w:type="dxa"/>
            <w:tcBorders>
              <w:top w:val="single" w:color="auto" w:sz="4" w:space="0"/>
              <w:left w:val="single" w:color="000000" w:sz="4" w:space="0"/>
              <w:right w:val="single" w:color="000000" w:sz="4" w:space="0"/>
            </w:tcBorders>
            <w:noWrap w:val="0"/>
            <w:vAlign w:val="center"/>
          </w:tcPr>
          <w:p w14:paraId="2FC5F69D">
            <w:pPr>
              <w:widowControl/>
              <w:spacing w:line="360" w:lineRule="exact"/>
              <w:jc w:val="center"/>
              <w:rPr>
                <w:rFonts w:hint="eastAsia" w:cs="Times New Roman"/>
                <w:b/>
                <w:bCs/>
                <w:color w:val="auto"/>
                <w:kern w:val="0"/>
                <w:sz w:val="28"/>
                <w:szCs w:val="28"/>
                <w:highlight w:val="none"/>
                <w:lang w:val="en-US" w:eastAsia="zh-CN"/>
              </w:rPr>
            </w:pPr>
          </w:p>
        </w:tc>
        <w:tc>
          <w:tcPr>
            <w:tcW w:w="1972" w:type="dxa"/>
            <w:tcBorders>
              <w:top w:val="single" w:color="auto" w:sz="4" w:space="0"/>
              <w:left w:val="nil"/>
              <w:bottom w:val="single" w:color="000000" w:sz="4" w:space="0"/>
              <w:right w:val="single" w:color="auto" w:sz="4" w:space="0"/>
            </w:tcBorders>
            <w:noWrap w:val="0"/>
            <w:vAlign w:val="center"/>
          </w:tcPr>
          <w:p w14:paraId="02E31AF2">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经济效益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2F17270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注：从产业发展、市场培育、旅游淡旺平衡、旅游消费拉动、直接和间接经济效益等方面设定</w:t>
            </w:r>
            <w:r>
              <w:rPr>
                <w:rFonts w:hint="eastAsia" w:cs="Times New Roman"/>
                <w:color w:val="auto"/>
                <w:kern w:val="0"/>
                <w:sz w:val="28"/>
                <w:szCs w:val="28"/>
                <w:highlight w:val="none"/>
                <w:lang w:eastAsia="zh-CN"/>
              </w:rPr>
              <w:t>）</w:t>
            </w:r>
          </w:p>
        </w:tc>
      </w:tr>
      <w:tr w14:paraId="1DF7E3A2">
        <w:tblPrEx>
          <w:tblCellMar>
            <w:top w:w="0" w:type="dxa"/>
            <w:left w:w="108" w:type="dxa"/>
            <w:bottom w:w="0" w:type="dxa"/>
            <w:right w:w="108" w:type="dxa"/>
          </w:tblCellMar>
        </w:tblPrEx>
        <w:trPr>
          <w:trHeight w:val="1691" w:hRule="atLeast"/>
          <w:jc w:val="center"/>
        </w:trPr>
        <w:tc>
          <w:tcPr>
            <w:tcW w:w="518" w:type="dxa"/>
            <w:vMerge w:val="restart"/>
            <w:tcBorders>
              <w:top w:val="single" w:color="auto" w:sz="4" w:space="0"/>
              <w:left w:val="single" w:color="000000" w:sz="4" w:space="0"/>
              <w:right w:val="single" w:color="000000" w:sz="4" w:space="0"/>
            </w:tcBorders>
            <w:noWrap w:val="0"/>
            <w:vAlign w:val="center"/>
          </w:tcPr>
          <w:p w14:paraId="110B5D22">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绩</w:t>
            </w:r>
          </w:p>
          <w:p w14:paraId="194D6343">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 xml:space="preserve"> </w:t>
            </w:r>
          </w:p>
          <w:p w14:paraId="348F00F5">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效</w:t>
            </w:r>
          </w:p>
          <w:p w14:paraId="6F79B015">
            <w:pPr>
              <w:widowControl/>
              <w:spacing w:line="360" w:lineRule="exact"/>
              <w:jc w:val="center"/>
              <w:rPr>
                <w:rFonts w:hint="eastAsia" w:cs="Times New Roman"/>
                <w:b/>
                <w:bCs/>
                <w:color w:val="auto"/>
                <w:kern w:val="0"/>
                <w:sz w:val="28"/>
                <w:szCs w:val="28"/>
                <w:highlight w:val="none"/>
                <w:lang w:val="en-US" w:eastAsia="zh-CN"/>
              </w:rPr>
            </w:pPr>
          </w:p>
          <w:p w14:paraId="070C2C58">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目</w:t>
            </w:r>
          </w:p>
          <w:p w14:paraId="015FDB12">
            <w:pPr>
              <w:widowControl/>
              <w:spacing w:line="360" w:lineRule="exact"/>
              <w:jc w:val="center"/>
              <w:rPr>
                <w:rFonts w:hint="eastAsia" w:cs="Times New Roman"/>
                <w:b/>
                <w:bCs/>
                <w:color w:val="auto"/>
                <w:kern w:val="0"/>
                <w:sz w:val="28"/>
                <w:szCs w:val="28"/>
                <w:highlight w:val="none"/>
                <w:lang w:val="en-US" w:eastAsia="zh-CN"/>
              </w:rPr>
            </w:pPr>
          </w:p>
          <w:p w14:paraId="68EDC73E">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r>
              <w:rPr>
                <w:rFonts w:hint="eastAsia" w:cs="Times New Roman"/>
                <w:b/>
                <w:bCs/>
                <w:color w:val="auto"/>
                <w:kern w:val="0"/>
                <w:sz w:val="28"/>
                <w:szCs w:val="28"/>
                <w:highlight w:val="none"/>
                <w:lang w:val="en-US" w:eastAsia="zh-CN"/>
              </w:rPr>
              <w:t>标</w:t>
            </w:r>
          </w:p>
        </w:tc>
        <w:tc>
          <w:tcPr>
            <w:tcW w:w="1972" w:type="dxa"/>
            <w:tcBorders>
              <w:top w:val="single" w:color="auto" w:sz="4" w:space="0"/>
              <w:left w:val="nil"/>
              <w:bottom w:val="single" w:color="000000" w:sz="4" w:space="0"/>
              <w:right w:val="single" w:color="auto" w:sz="4" w:space="0"/>
            </w:tcBorders>
            <w:noWrap w:val="0"/>
            <w:vAlign w:val="center"/>
          </w:tcPr>
          <w:p w14:paraId="5637D955">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社会效益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61CBE661">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注：从民生、文化、公共服务、品牌影响、产业融合、改革创新、国际交流、国家和省市战略目标等方面设定</w:t>
            </w:r>
            <w:r>
              <w:rPr>
                <w:rFonts w:hint="eastAsia" w:cs="Times New Roman"/>
                <w:color w:val="auto"/>
                <w:kern w:val="0"/>
                <w:sz w:val="28"/>
                <w:szCs w:val="28"/>
                <w:highlight w:val="none"/>
                <w:lang w:eastAsia="zh-CN"/>
              </w:rPr>
              <w:t>）</w:t>
            </w:r>
          </w:p>
        </w:tc>
      </w:tr>
      <w:tr w14:paraId="51AA3D59">
        <w:tblPrEx>
          <w:tblCellMar>
            <w:top w:w="0" w:type="dxa"/>
            <w:left w:w="108" w:type="dxa"/>
            <w:bottom w:w="0" w:type="dxa"/>
            <w:right w:w="108" w:type="dxa"/>
          </w:tblCellMar>
        </w:tblPrEx>
        <w:trPr>
          <w:trHeight w:val="1691" w:hRule="atLeast"/>
          <w:jc w:val="center"/>
        </w:trPr>
        <w:tc>
          <w:tcPr>
            <w:tcW w:w="518" w:type="dxa"/>
            <w:vMerge w:val="continue"/>
            <w:tcBorders>
              <w:left w:val="single" w:color="000000" w:sz="4" w:space="0"/>
              <w:right w:val="single" w:color="000000" w:sz="4" w:space="0"/>
            </w:tcBorders>
            <w:noWrap w:val="0"/>
            <w:vAlign w:val="center"/>
          </w:tcPr>
          <w:p w14:paraId="538DBC07">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p>
        </w:tc>
        <w:tc>
          <w:tcPr>
            <w:tcW w:w="1972" w:type="dxa"/>
            <w:tcBorders>
              <w:top w:val="single" w:color="auto" w:sz="4" w:space="0"/>
              <w:left w:val="nil"/>
              <w:bottom w:val="single" w:color="000000" w:sz="4" w:space="0"/>
              <w:right w:val="single" w:color="auto" w:sz="4" w:space="0"/>
            </w:tcBorders>
            <w:noWrap w:val="0"/>
            <w:vAlign w:val="center"/>
          </w:tcPr>
          <w:p w14:paraId="62E1E045">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计划邀请</w:t>
            </w:r>
          </w:p>
          <w:p w14:paraId="4B9ED261">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媒体</w:t>
            </w:r>
            <w:r>
              <w:rPr>
                <w:rFonts w:hint="default" w:ascii="Times New Roman" w:hAnsi="Times New Roman" w:cs="Times New Roman"/>
                <w:b/>
                <w:bCs/>
                <w:color w:val="auto"/>
                <w:kern w:val="0"/>
                <w:sz w:val="28"/>
                <w:szCs w:val="28"/>
                <w:highlight w:val="none"/>
                <w:lang w:val="en-US" w:eastAsia="zh-CN"/>
              </w:rPr>
              <w:t>情况</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03797B58">
            <w:pPr>
              <w:widowControl/>
              <w:spacing w:line="560" w:lineRule="atLeas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国际媒体（）家、中央媒体（）家</w:t>
            </w:r>
          </w:p>
          <w:p w14:paraId="05A9EECA">
            <w:pPr>
              <w:widowControl/>
              <w:spacing w:line="560" w:lineRule="atLeast"/>
              <w:jc w:val="center"/>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 w:val="28"/>
                <w:szCs w:val="28"/>
                <w:highlight w:val="none"/>
              </w:rPr>
              <w:t>地方媒体（）家、网络媒体（）家</w:t>
            </w:r>
          </w:p>
        </w:tc>
      </w:tr>
      <w:tr w14:paraId="3FC99AD1">
        <w:tblPrEx>
          <w:tblCellMar>
            <w:top w:w="0" w:type="dxa"/>
            <w:left w:w="108" w:type="dxa"/>
            <w:bottom w:w="0" w:type="dxa"/>
            <w:right w:w="108" w:type="dxa"/>
          </w:tblCellMar>
        </w:tblPrEx>
        <w:trPr>
          <w:trHeight w:val="1743" w:hRule="atLeast"/>
          <w:jc w:val="center"/>
        </w:trPr>
        <w:tc>
          <w:tcPr>
            <w:tcW w:w="518" w:type="dxa"/>
            <w:vMerge w:val="continue"/>
            <w:tcBorders>
              <w:left w:val="single" w:color="000000" w:sz="4" w:space="0"/>
              <w:bottom w:val="single" w:color="000000" w:sz="4" w:space="0"/>
              <w:right w:val="single" w:color="000000" w:sz="4" w:space="0"/>
            </w:tcBorders>
            <w:noWrap w:val="0"/>
            <w:vAlign w:val="center"/>
          </w:tcPr>
          <w:p w14:paraId="01A04F83">
            <w:pPr>
              <w:widowControl/>
              <w:spacing w:line="360" w:lineRule="exact"/>
              <w:jc w:val="center"/>
              <w:rPr>
                <w:rFonts w:hint="default" w:ascii="Times New Roman" w:hAnsi="Times New Roman" w:cs="Times New Roman"/>
                <w:b/>
                <w:bCs/>
                <w:color w:val="auto"/>
                <w:kern w:val="0"/>
                <w:sz w:val="28"/>
                <w:szCs w:val="28"/>
                <w:highlight w:val="none"/>
              </w:rPr>
            </w:pPr>
          </w:p>
        </w:tc>
        <w:tc>
          <w:tcPr>
            <w:tcW w:w="1972" w:type="dxa"/>
            <w:tcBorders>
              <w:top w:val="single" w:color="000000" w:sz="4" w:space="0"/>
              <w:left w:val="nil"/>
              <w:bottom w:val="single" w:color="000000" w:sz="4" w:space="0"/>
              <w:right w:val="single" w:color="auto" w:sz="4" w:space="0"/>
            </w:tcBorders>
            <w:noWrap w:val="0"/>
            <w:vAlign w:val="center"/>
          </w:tcPr>
          <w:p w14:paraId="68AA3836">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计划</w:t>
            </w:r>
            <w:r>
              <w:rPr>
                <w:rFonts w:hint="default" w:ascii="Times New Roman" w:hAnsi="Times New Roman" w:cs="Times New Roman"/>
                <w:b/>
                <w:bCs/>
                <w:color w:val="auto"/>
                <w:kern w:val="0"/>
                <w:sz w:val="28"/>
                <w:szCs w:val="28"/>
                <w:highlight w:val="none"/>
                <w:lang w:val="en-US" w:eastAsia="zh-CN"/>
              </w:rPr>
              <w:t>宣传</w:t>
            </w:r>
          </w:p>
          <w:p w14:paraId="0BF3953C">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发布总量</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2B94B225">
            <w:pPr>
              <w:widowControl/>
              <w:spacing w:line="560" w:lineRule="atLeas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rPr>
              <w:t>国际媒体（）</w:t>
            </w:r>
            <w:r>
              <w:rPr>
                <w:rFonts w:hint="default" w:ascii="Times New Roman" w:hAnsi="Times New Roman"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、中央媒体（）</w:t>
            </w:r>
            <w:r>
              <w:rPr>
                <w:rFonts w:hint="default" w:ascii="Times New Roman" w:hAnsi="Times New Roman" w:cs="Times New Roman"/>
                <w:color w:val="auto"/>
                <w:kern w:val="0"/>
                <w:sz w:val="28"/>
                <w:szCs w:val="28"/>
                <w:highlight w:val="none"/>
                <w:lang w:val="en-US" w:eastAsia="zh-CN"/>
              </w:rPr>
              <w:t>条</w:t>
            </w:r>
            <w:r>
              <w:rPr>
                <w:rFonts w:hint="eastAsia"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地方媒体（）</w:t>
            </w:r>
            <w:r>
              <w:rPr>
                <w:rFonts w:hint="default" w:ascii="Times New Roman" w:hAnsi="Times New Roman" w:cs="Times New Roman"/>
                <w:color w:val="auto"/>
                <w:kern w:val="0"/>
                <w:sz w:val="28"/>
                <w:szCs w:val="28"/>
                <w:highlight w:val="none"/>
                <w:lang w:val="en-US" w:eastAsia="zh-CN"/>
              </w:rPr>
              <w:t>条</w:t>
            </w:r>
          </w:p>
          <w:p w14:paraId="24BEAD71">
            <w:pPr>
              <w:widowControl/>
              <w:spacing w:line="560" w:lineRule="atLeas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 w:val="28"/>
                <w:szCs w:val="28"/>
                <w:highlight w:val="none"/>
              </w:rPr>
              <w:t>网络媒体（）</w:t>
            </w:r>
            <w:r>
              <w:rPr>
                <w:rFonts w:hint="eastAsia"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阅读/播放量</w:t>
            </w:r>
            <w:r>
              <w:rPr>
                <w:rFonts w:hint="eastAsia" w:cs="Times New Roman"/>
                <w:color w:val="auto"/>
                <w:kern w:val="0"/>
                <w:sz w:val="28"/>
                <w:szCs w:val="28"/>
                <w:highlight w:val="none"/>
                <w:lang w:eastAsia="zh-CN"/>
              </w:rPr>
              <w:t>（）</w:t>
            </w:r>
          </w:p>
        </w:tc>
      </w:tr>
      <w:tr w14:paraId="0E8293CD">
        <w:tblPrEx>
          <w:tblCellMar>
            <w:top w:w="0" w:type="dxa"/>
            <w:left w:w="108" w:type="dxa"/>
            <w:bottom w:w="0" w:type="dxa"/>
            <w:right w:w="108" w:type="dxa"/>
          </w:tblCellMar>
        </w:tblPrEx>
        <w:trPr>
          <w:trHeight w:val="866" w:hRule="atLeast"/>
          <w:jc w:val="center"/>
        </w:trPr>
        <w:tc>
          <w:tcPr>
            <w:tcW w:w="9119" w:type="dxa"/>
            <w:gridSpan w:val="5"/>
            <w:tcBorders>
              <w:top w:val="single" w:color="000000" w:sz="4" w:space="0"/>
              <w:left w:val="single" w:color="000000" w:sz="4" w:space="0"/>
              <w:bottom w:val="single" w:color="000000" w:sz="4" w:space="0"/>
              <w:right w:val="single" w:color="000000" w:sz="4" w:space="0"/>
            </w:tcBorders>
            <w:noWrap w:val="0"/>
            <w:vAlign w:val="top"/>
          </w:tcPr>
          <w:p w14:paraId="44929353">
            <w:pPr>
              <w:widowControl/>
              <w:spacing w:line="560" w:lineRule="atLeast"/>
              <w:rPr>
                <w:rFonts w:hint="default" w:ascii="Times New Roman" w:hAnsi="Times New Roman" w:cs="Times New Roman"/>
                <w:b/>
                <w:bCs/>
                <w:color w:val="auto"/>
                <w:kern w:val="0"/>
                <w:sz w:val="28"/>
                <w:szCs w:val="28"/>
                <w:highlight w:val="none"/>
              </w:rPr>
            </w:pPr>
            <w:r>
              <w:rPr>
                <w:rFonts w:hint="default" w:ascii="Times New Roman" w:hAnsi="Times New Roman" w:cs="Times New Roman"/>
                <w:color w:val="auto"/>
                <w:kern w:val="0"/>
                <w:sz w:val="24"/>
                <w:highlight w:val="none"/>
              </w:rPr>
              <w:t>注：</w:t>
            </w:r>
            <w:r>
              <w:rPr>
                <w:rFonts w:hint="default" w:ascii="Times New Roman" w:hAnsi="Times New Roman" w:cs="Times New Roman"/>
                <w:color w:val="auto"/>
                <w:kern w:val="0"/>
                <w:sz w:val="24"/>
                <w:highlight w:val="none"/>
                <w:lang w:val="en-US" w:eastAsia="zh-CN"/>
              </w:rPr>
              <w:t>除项目编码由初评单位填写外，</w:t>
            </w:r>
            <w:r>
              <w:rPr>
                <w:rFonts w:hint="default" w:ascii="Times New Roman" w:hAnsi="Times New Roman" w:cs="Times New Roman"/>
                <w:color w:val="auto"/>
                <w:kern w:val="0"/>
                <w:sz w:val="24"/>
                <w:highlight w:val="none"/>
              </w:rPr>
              <w:t>表格</w:t>
            </w:r>
            <w:r>
              <w:rPr>
                <w:rFonts w:hint="default" w:ascii="Times New Roman" w:hAnsi="Times New Roman" w:cs="Times New Roman"/>
                <w:color w:val="auto"/>
                <w:kern w:val="0"/>
                <w:sz w:val="24"/>
                <w:highlight w:val="none"/>
                <w:lang w:val="en-US" w:eastAsia="zh-CN"/>
              </w:rPr>
              <w:t>内其他内容由申</w:t>
            </w:r>
            <w:r>
              <w:rPr>
                <w:rFonts w:hint="eastAsia" w:cs="Times New Roman"/>
                <w:color w:val="auto"/>
                <w:kern w:val="0"/>
                <w:sz w:val="24"/>
                <w:highlight w:val="none"/>
                <w:lang w:val="en-US" w:eastAsia="zh-CN"/>
              </w:rPr>
              <w:t>报</w:t>
            </w:r>
            <w:r>
              <w:rPr>
                <w:rFonts w:hint="default" w:ascii="Times New Roman" w:hAnsi="Times New Roman" w:cs="Times New Roman"/>
                <w:color w:val="auto"/>
                <w:kern w:val="0"/>
                <w:sz w:val="24"/>
                <w:highlight w:val="none"/>
                <w:lang w:val="en-US" w:eastAsia="zh-CN"/>
              </w:rPr>
              <w:t>单位填写。</w:t>
            </w:r>
          </w:p>
        </w:tc>
      </w:tr>
    </w:tbl>
    <w:p w14:paraId="648EA0C1">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33197FD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F0788A0">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C38E3AE">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61C20A7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7838F97">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2FE4274A">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EE0AD93">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3F331A8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B72EF12">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5BCB1D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4942E401">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4812A8F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1F856FB">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一、大型活动总体方案</w:t>
      </w:r>
    </w:p>
    <w:p w14:paraId="54EFA252">
      <w:pPr>
        <w:spacing w:line="578" w:lineRule="exact"/>
        <w:jc w:val="center"/>
        <w:rPr>
          <w:rFonts w:hint="default" w:ascii="Times New Roman" w:hAnsi="Times New Roman" w:cs="Times New Roman"/>
          <w:b/>
          <w:color w:val="auto"/>
          <w:sz w:val="44"/>
          <w:szCs w:val="44"/>
        </w:rPr>
      </w:pPr>
    </w:p>
    <w:p w14:paraId="3ED9AE28">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（一）工作方案</w:t>
      </w:r>
    </w:p>
    <w:p w14:paraId="7CA73A03">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XXX活动拟于202</w:t>
      </w:r>
      <w:r>
        <w:rPr>
          <w:rFonts w:hint="eastAsia"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年X月X日至</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日在三亚市XXX地点举行。特制定本活动总体工作方案。</w:t>
      </w:r>
    </w:p>
    <w:p w14:paraId="6FA7CB6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目的</w:t>
      </w:r>
    </w:p>
    <w:p w14:paraId="7EA087C5">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要素</w:t>
      </w:r>
    </w:p>
    <w:p w14:paraId="1A0C0D19">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活动名称</w:t>
      </w:r>
    </w:p>
    <w:p w14:paraId="5B5EEE69">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活动时间</w:t>
      </w:r>
    </w:p>
    <w:p w14:paraId="73C024E0">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活动地点</w:t>
      </w:r>
    </w:p>
    <w:p w14:paraId="3302F435">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活动主题</w:t>
      </w:r>
    </w:p>
    <w:p w14:paraId="023EC21D">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活动规模</w:t>
      </w:r>
    </w:p>
    <w:p w14:paraId="1B8E79C0">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3.组织机构</w:t>
      </w:r>
    </w:p>
    <w:p w14:paraId="52502DD5">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主办单位</w:t>
      </w:r>
    </w:p>
    <w:p w14:paraId="251025D3">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承办单位</w:t>
      </w:r>
    </w:p>
    <w:p w14:paraId="2FB41C0A">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协办单位</w:t>
      </w:r>
    </w:p>
    <w:p w14:paraId="62A3E40B">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指导单位</w:t>
      </w:r>
    </w:p>
    <w:p w14:paraId="16852B00">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支持单位</w:t>
      </w:r>
    </w:p>
    <w:p w14:paraId="3AF98710">
      <w:pPr>
        <w:pStyle w:val="2"/>
        <w:keepNext w:val="0"/>
        <w:keepLines w:val="0"/>
        <w:pageBreakBefore w:val="0"/>
        <w:widowControl w:val="0"/>
        <w:kinsoku/>
        <w:wordWrap/>
        <w:overflowPunct/>
        <w:topLinePunct w:val="0"/>
        <w:autoSpaceDE/>
        <w:autoSpaceDN/>
        <w:bidi w:val="0"/>
        <w:adjustRightInd/>
        <w:snapToGrid/>
        <w:spacing w:after="100" w:afterAutospacing="1" w:line="500" w:lineRule="exact"/>
        <w:ind w:firstLine="64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（注：组织机构根据实际情况填写。主办单位、承办单位为必写项。若政府及所属机构参与举办，未获得正式批文的，以（拟）作为备注，需在活动举办至少前30天提供正式批文）</w:t>
      </w:r>
    </w:p>
    <w:p w14:paraId="2F905FE9">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4.活动内容及日程安排</w:t>
      </w:r>
    </w:p>
    <w:p w14:paraId="1CEB7247">
      <w:pPr>
        <w:pStyle w:val="2"/>
        <w:keepNext w:val="0"/>
        <w:keepLines w:val="0"/>
        <w:pageBreakBefore w:val="0"/>
        <w:widowControl w:val="0"/>
        <w:numPr>
          <w:ilvl w:val="0"/>
          <w:numId w:val="0"/>
        </w:numPr>
        <w:kinsoku/>
        <w:wordWrap/>
        <w:overflowPunct/>
        <w:topLinePunct w:val="0"/>
        <w:autoSpaceDE/>
        <w:autoSpaceDN/>
        <w:bidi w:val="0"/>
        <w:adjustRightInd/>
        <w:snapToGrid/>
        <w:spacing w:after="100" w:afterAutospacing="1" w:line="320" w:lineRule="exact"/>
        <w:ind w:firstLine="640"/>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（注：按时间、分版块、主要活动流程）</w:t>
      </w:r>
    </w:p>
    <w:p w14:paraId="1EC842B8">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（二）活动预算</w:t>
      </w:r>
    </w:p>
    <w:p w14:paraId="5D04200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1.活动经费及筹措办法</w:t>
      </w:r>
    </w:p>
    <w:p w14:paraId="246298C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en-US" w:eastAsia="zh-CN"/>
        </w:rPr>
        <w:t>（市场主体或社会团体自主举办的大型活动资金筹措方式</w:t>
      </w:r>
      <w:r>
        <w:rPr>
          <w:rFonts w:hint="default" w:ascii="Times New Roman" w:hAnsi="Times New Roman" w:eastAsia="仿宋_GB2312" w:cs="Times New Roman"/>
          <w:color w:val="auto"/>
          <w:sz w:val="32"/>
          <w:szCs w:val="32"/>
          <w:lang w:val="zh-CN" w:eastAsia="zh-CN"/>
        </w:rPr>
        <w:t>主要包括：旅游酒店收益、赞助商赞助、特许产品销售等。</w:t>
      </w:r>
      <w:r>
        <w:rPr>
          <w:rFonts w:hint="eastAsia" w:eastAsia="仿宋_GB2312" w:cs="Times New Roman"/>
          <w:color w:val="auto"/>
          <w:sz w:val="32"/>
          <w:szCs w:val="32"/>
          <w:lang w:val="zh-CN" w:eastAsia="zh-CN"/>
        </w:rPr>
        <w:t>）</w:t>
      </w:r>
    </w:p>
    <w:p w14:paraId="27C0721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2.活动预算列表</w:t>
      </w:r>
    </w:p>
    <w:p w14:paraId="139C85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（注：</w:t>
      </w:r>
      <w:r>
        <w:rPr>
          <w:rFonts w:hint="default" w:ascii="Calibri" w:hAnsi="Calibri" w:eastAsia="仿宋_GB2312" w:cs="Calibri"/>
          <w:color w:val="auto"/>
          <w:sz w:val="32"/>
          <w:szCs w:val="32"/>
          <w:lang w:val="en-US" w:eastAsia="zh-CN"/>
        </w:rPr>
        <w:t>①</w:t>
      </w:r>
      <w:r>
        <w:rPr>
          <w:rFonts w:hint="default" w:ascii="Times New Roman" w:hAnsi="Times New Roman" w:eastAsia="仿宋_GB2312" w:cs="Times New Roman"/>
          <w:color w:val="auto"/>
          <w:sz w:val="32"/>
          <w:szCs w:val="32"/>
          <w:lang w:val="en-US" w:eastAsia="zh-CN"/>
        </w:rPr>
        <w:t>项目预算支出，分别分类列出</w:t>
      </w:r>
      <w:r>
        <w:rPr>
          <w:rFonts w:hint="eastAsia" w:eastAsia="仿宋_GB2312" w:cs="Times New Roman"/>
          <w:color w:val="auto"/>
          <w:sz w:val="32"/>
          <w:szCs w:val="32"/>
          <w:lang w:val="en-US" w:eastAsia="zh-CN"/>
        </w:rPr>
        <w:t>。</w:t>
      </w:r>
      <w:r>
        <w:rPr>
          <w:rFonts w:hint="default" w:ascii="Calibri" w:hAnsi="Calibri" w:eastAsia="仿宋_GB2312" w:cs="Calibri"/>
          <w:color w:val="auto"/>
          <w:sz w:val="32"/>
          <w:szCs w:val="32"/>
          <w:lang w:val="en-US" w:eastAsia="zh-CN"/>
        </w:rPr>
        <w:t>②</w:t>
      </w:r>
      <w:r>
        <w:rPr>
          <w:rFonts w:hint="eastAsia" w:eastAsia="仿宋_GB2312" w:cs="Times New Roman"/>
          <w:color w:val="auto"/>
          <w:sz w:val="32"/>
          <w:szCs w:val="32"/>
          <w:lang w:val="en-US" w:eastAsia="zh-CN"/>
        </w:rPr>
        <w:t>详细列示举办活动预算项目并提供资金测算标准及相关依据。</w:t>
      </w:r>
      <w:r>
        <w:rPr>
          <w:rFonts w:hint="default" w:ascii="Calibri" w:hAnsi="Calibri" w:eastAsia="仿宋_GB2312" w:cs="Calibri"/>
          <w:color w:val="auto"/>
          <w:sz w:val="32"/>
          <w:szCs w:val="32"/>
          <w:lang w:val="en-US" w:eastAsia="zh-CN"/>
        </w:rPr>
        <w:t>③</w:t>
      </w:r>
      <w:r>
        <w:rPr>
          <w:rFonts w:hint="eastAsia" w:eastAsia="仿宋_GB2312" w:cs="Times New Roman"/>
          <w:color w:val="auto"/>
          <w:sz w:val="32"/>
          <w:szCs w:val="32"/>
          <w:lang w:val="en-US" w:eastAsia="zh-CN"/>
        </w:rPr>
        <w:t>如活动为往年举办项目，提供近三年举办活动费用开支明细、标准及相关依据等材料以供参考。④按实际要求列明安保费用、应急及医疗保障费用等</w:t>
      </w:r>
      <w:r>
        <w:rPr>
          <w:rFonts w:hint="default" w:eastAsia="仿宋_GB2312" w:cs="Times New Roman"/>
          <w:color w:val="auto"/>
          <w:sz w:val="32"/>
          <w:szCs w:val="32"/>
          <w:lang w:val="en-US" w:eastAsia="zh-CN"/>
        </w:rPr>
        <w:t>）</w:t>
      </w:r>
    </w:p>
    <w:p w14:paraId="5B1C7E50">
      <w:pPr>
        <w:pStyle w:val="2"/>
        <w:rPr>
          <w:rFonts w:hint="default" w:ascii="Times New Roman" w:hAnsi="Times New Roman" w:cs="Times New Roman"/>
          <w:color w:val="auto"/>
        </w:rPr>
      </w:pPr>
    </w:p>
    <w:p w14:paraId="6C188773">
      <w:pPr>
        <w:rPr>
          <w:rFonts w:hint="default" w:ascii="Times New Roman" w:hAnsi="Times New Roman" w:cs="Times New Roman"/>
          <w:color w:val="auto"/>
        </w:rPr>
      </w:pPr>
    </w:p>
    <w:p w14:paraId="44993784">
      <w:pPr>
        <w:pStyle w:val="2"/>
        <w:rPr>
          <w:rFonts w:hint="default" w:ascii="Times New Roman" w:hAnsi="Times New Roman" w:cs="Times New Roman"/>
          <w:color w:val="auto"/>
        </w:rPr>
      </w:pPr>
    </w:p>
    <w:p w14:paraId="4B9678FD">
      <w:pPr>
        <w:rPr>
          <w:rFonts w:hint="default" w:ascii="Times New Roman" w:hAnsi="Times New Roman" w:cs="Times New Roman"/>
          <w:color w:val="auto"/>
        </w:rPr>
      </w:pPr>
    </w:p>
    <w:p w14:paraId="76DF3C17">
      <w:pPr>
        <w:pStyle w:val="2"/>
        <w:rPr>
          <w:rFonts w:hint="default" w:ascii="Times New Roman" w:hAnsi="Times New Roman" w:cs="Times New Roman"/>
          <w:color w:val="auto"/>
        </w:rPr>
      </w:pPr>
    </w:p>
    <w:p w14:paraId="51546AE6">
      <w:pPr>
        <w:rPr>
          <w:rFonts w:hint="default" w:ascii="Times New Roman" w:hAnsi="Times New Roman" w:cs="Times New Roman"/>
          <w:color w:val="auto"/>
        </w:rPr>
      </w:pPr>
    </w:p>
    <w:p w14:paraId="349EDA4B">
      <w:pPr>
        <w:pStyle w:val="2"/>
        <w:rPr>
          <w:rFonts w:hint="default" w:ascii="Times New Roman" w:hAnsi="Times New Roman" w:cs="Times New Roman"/>
          <w:color w:val="auto"/>
        </w:rPr>
      </w:pPr>
    </w:p>
    <w:p w14:paraId="6EA4E859">
      <w:pPr>
        <w:pStyle w:val="2"/>
        <w:rPr>
          <w:rFonts w:hint="default" w:ascii="Times New Roman" w:hAnsi="Times New Roman" w:cs="Times New Roman"/>
          <w:color w:val="auto"/>
        </w:rPr>
      </w:pPr>
    </w:p>
    <w:p w14:paraId="5E5796A1">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（三）预期效益</w:t>
      </w:r>
    </w:p>
    <w:p w14:paraId="3ED0EBA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1.基本情况</w:t>
      </w:r>
      <w:r>
        <w:rPr>
          <w:rFonts w:hint="default" w:ascii="Times New Roman" w:hAnsi="Times New Roman" w:eastAsia="楷体" w:cs="Times New Roman"/>
          <w:b/>
          <w:bCs/>
          <w:color w:val="auto"/>
          <w:sz w:val="32"/>
          <w:szCs w:val="32"/>
          <w:lang w:val="zh-CN" w:eastAsia="zh-CN"/>
        </w:rPr>
        <w:t xml:space="preserve"> </w:t>
      </w:r>
    </w:p>
    <w:p w14:paraId="19512EE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2.活动效益</w:t>
      </w:r>
    </w:p>
    <w:p w14:paraId="6F5DB2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 xml:space="preserve">）经济效益 </w:t>
      </w:r>
    </w:p>
    <w:p w14:paraId="6A3CF0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楷体" w:cs="Times New Roman"/>
          <w:i w:val="0"/>
          <w:iCs w:val="0"/>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 xml:space="preserve">）社会效益  </w:t>
      </w:r>
    </w:p>
    <w:p w14:paraId="1705502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p>
    <w:p w14:paraId="3B644B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387A9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39CDA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B93AF6D">
      <w:pPr>
        <w:pStyle w:val="2"/>
        <w:rPr>
          <w:rFonts w:hint="default" w:ascii="Times New Roman" w:hAnsi="Times New Roman" w:eastAsia="宋体" w:cs="Times New Roman"/>
          <w:color w:val="auto"/>
          <w:sz w:val="44"/>
          <w:szCs w:val="44"/>
          <w:lang w:val="en-US" w:eastAsia="zh-CN"/>
        </w:rPr>
      </w:pPr>
    </w:p>
    <w:p w14:paraId="34429BFE">
      <w:pPr>
        <w:rPr>
          <w:rFonts w:hint="default" w:ascii="Times New Roman" w:hAnsi="Times New Roman" w:eastAsia="宋体" w:cs="Times New Roman"/>
          <w:color w:val="auto"/>
          <w:sz w:val="44"/>
          <w:szCs w:val="44"/>
          <w:lang w:val="en-US" w:eastAsia="zh-CN"/>
        </w:rPr>
      </w:pPr>
    </w:p>
    <w:p w14:paraId="5D581E72">
      <w:pPr>
        <w:pStyle w:val="2"/>
        <w:rPr>
          <w:rFonts w:hint="default" w:ascii="Times New Roman" w:hAnsi="Times New Roman" w:eastAsia="宋体" w:cs="Times New Roman"/>
          <w:color w:val="auto"/>
          <w:sz w:val="44"/>
          <w:szCs w:val="44"/>
          <w:lang w:val="en-US" w:eastAsia="zh-CN"/>
        </w:rPr>
      </w:pPr>
    </w:p>
    <w:p w14:paraId="40E75350">
      <w:pPr>
        <w:rPr>
          <w:rFonts w:hint="default" w:ascii="Times New Roman" w:hAnsi="Times New Roman" w:eastAsia="宋体" w:cs="Times New Roman"/>
          <w:color w:val="auto"/>
          <w:sz w:val="44"/>
          <w:szCs w:val="44"/>
          <w:lang w:val="en-US" w:eastAsia="zh-CN"/>
        </w:rPr>
      </w:pPr>
    </w:p>
    <w:p w14:paraId="20CB953D">
      <w:pPr>
        <w:pStyle w:val="2"/>
        <w:rPr>
          <w:rFonts w:hint="eastAsia" w:ascii="宋体" w:hAnsi="宋体" w:eastAsia="宋体" w:cs="宋体"/>
          <w:color w:val="auto"/>
          <w:sz w:val="44"/>
          <w:szCs w:val="44"/>
          <w:lang w:val="en-US" w:eastAsia="zh-CN"/>
        </w:rPr>
      </w:pPr>
    </w:p>
    <w:p w14:paraId="01343198">
      <w:pPr>
        <w:rPr>
          <w:rFonts w:hint="eastAsia" w:ascii="宋体" w:hAnsi="宋体" w:eastAsia="宋体" w:cs="宋体"/>
          <w:color w:val="auto"/>
          <w:sz w:val="44"/>
          <w:szCs w:val="44"/>
          <w:lang w:val="en-US" w:eastAsia="zh-CN"/>
        </w:rPr>
      </w:pPr>
    </w:p>
    <w:p w14:paraId="58504178">
      <w:pPr>
        <w:pStyle w:val="2"/>
        <w:rPr>
          <w:rFonts w:hint="eastAsia" w:ascii="宋体" w:hAnsi="宋体" w:eastAsia="宋体" w:cs="宋体"/>
          <w:color w:val="auto"/>
          <w:sz w:val="44"/>
          <w:szCs w:val="44"/>
          <w:lang w:val="en-US" w:eastAsia="zh-CN"/>
        </w:rPr>
      </w:pPr>
    </w:p>
    <w:p w14:paraId="32AB0395">
      <w:pPr>
        <w:rPr>
          <w:rFonts w:hint="eastAsia" w:ascii="宋体" w:hAnsi="宋体" w:eastAsia="宋体" w:cs="宋体"/>
          <w:color w:val="auto"/>
          <w:sz w:val="44"/>
          <w:szCs w:val="44"/>
          <w:lang w:val="en-US" w:eastAsia="zh-CN"/>
        </w:rPr>
      </w:pPr>
    </w:p>
    <w:p w14:paraId="5DDA2AB0">
      <w:pPr>
        <w:pStyle w:val="2"/>
        <w:rPr>
          <w:rFonts w:hint="eastAsia" w:ascii="宋体" w:hAnsi="宋体" w:eastAsia="宋体" w:cs="宋体"/>
          <w:color w:val="auto"/>
          <w:sz w:val="44"/>
          <w:szCs w:val="44"/>
          <w:lang w:val="en-US" w:eastAsia="zh-CN"/>
        </w:rPr>
      </w:pPr>
    </w:p>
    <w:p w14:paraId="70FCCEC1">
      <w:pPr>
        <w:rPr>
          <w:rFonts w:hint="eastAsia" w:ascii="宋体" w:hAnsi="宋体" w:eastAsia="宋体" w:cs="宋体"/>
          <w:color w:val="auto"/>
          <w:sz w:val="44"/>
          <w:szCs w:val="44"/>
          <w:lang w:val="en-US" w:eastAsia="zh-CN"/>
        </w:rPr>
      </w:pPr>
    </w:p>
    <w:p w14:paraId="3FCA3C5A">
      <w:pPr>
        <w:pStyle w:val="2"/>
        <w:rPr>
          <w:rFonts w:hint="eastAsia"/>
          <w:color w:val="auto"/>
          <w:lang w:val="en-US" w:eastAsia="zh-CN"/>
        </w:rPr>
      </w:pPr>
    </w:p>
    <w:p w14:paraId="42096F60">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）宣传方案</w:t>
      </w:r>
    </w:p>
    <w:p w14:paraId="76895B3C">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1.宣传目标</w:t>
      </w:r>
    </w:p>
    <w:p w14:paraId="7987C42C">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 xml:space="preserve">2.宣传重点 </w:t>
      </w:r>
    </w:p>
    <w:p w14:paraId="2A336A0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宣传渠道</w:t>
      </w:r>
    </w:p>
    <w:p w14:paraId="05D374D9">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宣传形式</w:t>
      </w:r>
    </w:p>
    <w:p w14:paraId="2403E235">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3.具体宣传安排 </w:t>
      </w:r>
    </w:p>
    <w:p w14:paraId="4393192B">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前期预热</w:t>
      </w:r>
      <w:r>
        <w:rPr>
          <w:rFonts w:hint="default" w:ascii="Times New Roman" w:hAnsi="Times New Roman" w:eastAsia="仿宋_GB2312" w:cs="Times New Roman"/>
          <w:color w:val="auto"/>
          <w:kern w:val="2"/>
          <w:sz w:val="32"/>
          <w:szCs w:val="32"/>
          <w:lang w:val="en-US" w:eastAsia="zh-CN" w:bidi="ar-SA"/>
        </w:rPr>
        <w:t xml:space="preserve"> </w:t>
      </w:r>
    </w:p>
    <w:p w14:paraId="26397CF9">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中期报道</w:t>
      </w:r>
    </w:p>
    <w:p w14:paraId="411B42E7">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后期延续</w:t>
      </w:r>
    </w:p>
    <w:p w14:paraId="5D6CFE21">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4.拟邀请媒体</w:t>
      </w:r>
    </w:p>
    <w:p w14:paraId="23EA7B36">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专题报道媒体</w:t>
      </w:r>
    </w:p>
    <w:p w14:paraId="44C321A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（2）新</w:t>
      </w:r>
      <w:r>
        <w:rPr>
          <w:rFonts w:hint="default" w:ascii="Times New Roman" w:hAnsi="Times New Roman" w:eastAsia="仿宋_GB2312" w:cs="Times New Roman"/>
          <w:color w:val="auto"/>
          <w:kern w:val="2"/>
          <w:sz w:val="32"/>
          <w:szCs w:val="32"/>
          <w:lang w:val="zh-CN" w:eastAsia="zh-CN" w:bidi="ar-SA"/>
        </w:rPr>
        <w:t>媒体</w:t>
      </w:r>
    </w:p>
    <w:p w14:paraId="2E8386A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（3）传统媒体</w:t>
      </w:r>
    </w:p>
    <w:p w14:paraId="62149C9A">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5.意识形态风险防控</w:t>
      </w:r>
    </w:p>
    <w:p w14:paraId="5F1AE568">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宣传内容与形式以马克思主义理论为指导，坚定中国特色社会主义制度，拥护中国共产党领导，弘扬并符合社会主义核心价值观，不宣传邪教迷信内容，严肃防控意识形态风险。</w:t>
      </w:r>
    </w:p>
    <w:p w14:paraId="0B44D8D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仿宋_GB2312" w:cs="Times New Roman"/>
          <w:color w:val="auto"/>
          <w:sz w:val="32"/>
          <w:szCs w:val="32"/>
          <w:lang w:val="zh-CN" w:eastAsia="zh-CN"/>
        </w:rPr>
        <w:br w:type="textWrapping"/>
      </w:r>
    </w:p>
    <w:p w14:paraId="2BA639D3">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宋体" w:cs="Times New Roman"/>
          <w:color w:val="auto"/>
          <w:sz w:val="44"/>
          <w:szCs w:val="44"/>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14:paraId="2A051D1A">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）医疗救助预案</w:t>
      </w:r>
      <w:r>
        <w:rPr>
          <w:rFonts w:hint="default" w:ascii="Times New Roman" w:hAnsi="Times New Roman" w:eastAsia="黑体" w:cs="Times New Roman"/>
          <w:b w:val="0"/>
          <w:bCs w:val="0"/>
          <w:color w:val="auto"/>
          <w:sz w:val="32"/>
          <w:szCs w:val="32"/>
          <w:lang w:val="en-US" w:eastAsia="zh-CN"/>
        </w:rPr>
        <w:tab/>
      </w:r>
    </w:p>
    <w:p w14:paraId="360A055F">
      <w:pPr>
        <w:rPr>
          <w:rFonts w:hint="default" w:ascii="Times New Roman" w:hAnsi="Times New Roman" w:eastAsia="黑体" w:cs="Times New Roman"/>
          <w:b w:val="0"/>
          <w:bCs w:val="0"/>
          <w:color w:val="auto"/>
          <w:sz w:val="32"/>
          <w:szCs w:val="32"/>
          <w:lang w:val="en-US" w:eastAsia="zh-CN"/>
        </w:rPr>
      </w:pPr>
    </w:p>
    <w:p w14:paraId="6D840C1D">
      <w:pPr>
        <w:rPr>
          <w:rFonts w:hint="default" w:ascii="Times New Roman" w:hAnsi="Times New Roman" w:eastAsia="黑体" w:cs="Times New Roman"/>
          <w:b w:val="0"/>
          <w:bCs w:val="0"/>
          <w:color w:val="auto"/>
          <w:sz w:val="32"/>
          <w:szCs w:val="32"/>
          <w:lang w:val="en-US" w:eastAsia="zh-CN"/>
        </w:rPr>
      </w:pPr>
    </w:p>
    <w:p w14:paraId="2431C035">
      <w:pPr>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）突发事件应急预案</w:t>
      </w:r>
    </w:p>
    <w:p w14:paraId="0F8F3BB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提高应对突发公共事件和抵御风险的能力，及时、高效处置大型活动中可能出现的突发公共事件，形成统一指挥、结构完整、功能齐全、反应灵敏、运转高效、科学合理的应急管理长效机制，最大限度地防止和减少突发公共事件及其造成的危害。根据《国务院关于特大安全事故行政责任追究的规定》《国家体育总局大型体育赛事及群众体育活动突发公共事件应急预案》《三亚市突发事件应急预案管理办法》等有关文件要求，特制定本预案。</w:t>
      </w:r>
    </w:p>
    <w:p w14:paraId="72101744">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1.目的</w:t>
      </w:r>
    </w:p>
    <w:p w14:paraId="2498F25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高应对突发公共事件和抵御风险的能力，及时、高效处置大型体育赛事中可能出现的突发公共事件，促进体育事业健康和谐快速发展；形成统一指挥、结构完整、功能齐全、反应灵敏、运转高效、科学合理的应急管理长效机制，最大限度地防止和减少突发公共事件及其造成的危害。</w:t>
      </w:r>
    </w:p>
    <w:p w14:paraId="7C309FA0">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2.适应范围</w:t>
      </w:r>
    </w:p>
    <w:p w14:paraId="2A8F7AE5">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3.责任部门</w:t>
      </w:r>
    </w:p>
    <w:p w14:paraId="6F2BE126">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4.实施细则</w:t>
      </w:r>
    </w:p>
    <w:p w14:paraId="01DAD9E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（1）应急指挥部及职责</w:t>
      </w:r>
    </w:p>
    <w:p w14:paraId="5F75480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应急指挥部：</w:t>
      </w:r>
    </w:p>
    <w:p w14:paraId="547DB29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工作职责：</w:t>
      </w:r>
    </w:p>
    <w:p w14:paraId="5052BE9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（2）各专业工作小组及职责</w:t>
      </w:r>
    </w:p>
    <w:p w14:paraId="1C2B3D4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和下设专业小组要根据“统一领导，各负其责、有机配合、服从安排”的工作原则，层层落实工作任务和启动程序，明确各组和各类人员的工作职责，责任到人，协调配合。领导小组要安排合适的时机对预案组织学习和演练。要落实值班制度，明确值班领导和值班人员。相关人员保证24小时通讯畅通。</w:t>
      </w:r>
    </w:p>
    <w:p w14:paraId="0409061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领导小组成员及职责：</w:t>
      </w:r>
    </w:p>
    <w:p w14:paraId="1B7D8E8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宣传联络组成员及职责：</w:t>
      </w:r>
    </w:p>
    <w:p w14:paraId="7495087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事故处置组成员及职责：</w:t>
      </w:r>
    </w:p>
    <w:p w14:paraId="2BACD6A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疏散引导组成员及职责：</w:t>
      </w:r>
    </w:p>
    <w:p w14:paraId="48B985D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安全救护组成员及职责：</w:t>
      </w:r>
    </w:p>
    <w:p w14:paraId="2358B91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后勤保障组成员及职责：</w:t>
      </w:r>
    </w:p>
    <w:p w14:paraId="2B12919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（3）事故处置措施</w:t>
      </w:r>
    </w:p>
    <w:p w14:paraId="50CBB55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报警与接警</w:t>
      </w:r>
    </w:p>
    <w:p w14:paraId="1D65CAA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组织疏散引导</w:t>
      </w:r>
    </w:p>
    <w:p w14:paraId="12A808E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现场处置</w:t>
      </w:r>
    </w:p>
    <w:p w14:paraId="7E997F8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w:t>
      </w:r>
    </w:p>
    <w:p w14:paraId="3EFEB2C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（4）事故预防和责任追究</w:t>
      </w:r>
    </w:p>
    <w:p w14:paraId="54473D4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事故预防</w:t>
      </w:r>
    </w:p>
    <w:p w14:paraId="02F5314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责任追究</w:t>
      </w:r>
    </w:p>
    <w:p w14:paraId="6CA391AD">
      <w:pPr>
        <w:rPr>
          <w:rFonts w:hint="default" w:ascii="Times New Roman" w:hAnsi="Times New Roman" w:cs="Times New Roman"/>
          <w:color w:val="auto"/>
          <w:sz w:val="24"/>
        </w:rPr>
      </w:pPr>
    </w:p>
    <w:p w14:paraId="2A1F297E">
      <w:pPr>
        <w:pStyle w:val="2"/>
        <w:rPr>
          <w:rFonts w:hint="default" w:ascii="Times New Roman" w:hAnsi="Times New Roman" w:cs="Times New Roman"/>
          <w:color w:val="auto"/>
          <w:sz w:val="24"/>
        </w:rPr>
      </w:pPr>
    </w:p>
    <w:p w14:paraId="6420E0C4">
      <w:pPr>
        <w:rPr>
          <w:rFonts w:hint="default"/>
        </w:rPr>
      </w:pPr>
    </w:p>
    <w:p w14:paraId="5B7878D9">
      <w:pPr>
        <w:keepNext w:val="0"/>
        <w:keepLines w:val="0"/>
        <w:pageBreakBefore w:val="0"/>
        <w:widowControl w:val="0"/>
        <w:kinsoku/>
        <w:wordWrap/>
        <w:overflowPunct/>
        <w:topLinePunct w:val="0"/>
        <w:autoSpaceDE/>
        <w:autoSpaceDN/>
        <w:bidi w:val="0"/>
        <w:adjustRightInd/>
        <w:snapToGrid/>
        <w:spacing w:beforeLines="0" w:after="100" w:afterLines="0" w:afterAutospacing="1"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val="en-US" w:eastAsia="zh-CN"/>
        </w:rPr>
        <w:t>安全保障方案</w:t>
      </w:r>
    </w:p>
    <w:p w14:paraId="474D88AB">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（注：方案</w:t>
      </w:r>
      <w:r>
        <w:rPr>
          <w:rFonts w:hint="default" w:ascii="Times New Roman" w:hAnsi="Times New Roman" w:cs="Times New Roman"/>
          <w:color w:val="auto"/>
          <w:szCs w:val="22"/>
          <w:lang w:val="en-US" w:eastAsia="zh-CN"/>
        </w:rPr>
        <w:t>从活动安保环节安全生产、内部保卫、交通保障三个方面出发，应当分为活动前，活动中，活动后三个方面。主要内容包括但不限于：活动场地的布置应当设置安全出口、防冲撞、控人流设施和安检重要部位，提前3日提请公安机关验收；成立安保指挥部，由承办单位主要负责人负责与公安机关对接；建立熔断机制和预案，一经发现重大安全隐患，应当由承办单位立即叫停，经公安机关或其他安全部门排除隐患后，同意继续活动后方可重新举办等方面。</w:t>
      </w:r>
      <w:r>
        <w:rPr>
          <w:rFonts w:hint="default" w:ascii="Times New Roman" w:hAnsi="Times New Roman" w:eastAsia="仿宋_GB2312" w:cs="Times New Roman"/>
          <w:color w:val="auto"/>
          <w:sz w:val="32"/>
          <w:szCs w:val="22"/>
          <w:u w:val="none"/>
          <w:lang w:val="en-US" w:eastAsia="zh-CN"/>
        </w:rPr>
        <w:t>）</w:t>
      </w:r>
    </w:p>
    <w:p w14:paraId="6934A06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要求：严格按照《大型群众性活动安全管理条例》的要求制作安保方案，突出防暴恐、防冲撞、防破坏、防骚乱、防踩踏方面的预案，结合现场情况充分做好在场人员数量评估，根据现场人数按法定比例配备保安人数（现场人数规模的3%）和安保设备，总预算中明确列出安保预算明细。整体安保方案内容在提供给市大型活动办受理前提交市公安局进行受理初评，便于专家评审时通过。</w:t>
      </w:r>
      <w:r>
        <w:rPr>
          <w:rFonts w:hint="eastAsia" w:eastAsia="仿宋_GB2312" w:cs="Times New Roman"/>
          <w:color w:val="auto"/>
          <w:kern w:val="2"/>
          <w:sz w:val="32"/>
          <w:szCs w:val="22"/>
          <w:lang w:val="en-US" w:eastAsia="zh-CN" w:bidi="ar-SA"/>
        </w:rPr>
        <w:t>以下模板仅供参考</w:t>
      </w:r>
      <w:r>
        <w:rPr>
          <w:rFonts w:hint="eastAsia" w:ascii="Times New Roman" w:hAnsi="Times New Roman" w:eastAsia="仿宋_GB2312" w:cs="Times New Roman"/>
          <w:color w:val="auto"/>
          <w:kern w:val="2"/>
          <w:sz w:val="32"/>
          <w:szCs w:val="22"/>
          <w:lang w:val="en-US" w:eastAsia="zh-CN" w:bidi="ar-SA"/>
        </w:rPr>
        <w:t>】</w:t>
      </w:r>
    </w:p>
    <w:p w14:paraId="4C8EE993">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1.保障部门</w:t>
      </w:r>
    </w:p>
    <w:p w14:paraId="07C8981E">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2.保障时间</w:t>
      </w:r>
    </w:p>
    <w:p w14:paraId="2FAD097C">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2021年X月X日- X日</w:t>
      </w:r>
    </w:p>
    <w:p w14:paraId="5980039C">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3.保障地点：</w:t>
      </w:r>
    </w:p>
    <w:p w14:paraId="55F3C534">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4.保障内容：</w:t>
      </w:r>
    </w:p>
    <w:p w14:paraId="7CE3CF8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（1）活动时间、地点、内容、规模、规格以及组织方式等；</w:t>
      </w:r>
    </w:p>
    <w:p w14:paraId="59EF5351">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（2）活动场所地理环境、建筑结构和面积（附图纸）、可容</w:t>
      </w:r>
    </w:p>
    <w:p w14:paraId="1BBC93E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纳的人员数量以及活动预计参加人数等； </w:t>
      </w:r>
    </w:p>
    <w:p w14:paraId="48F150D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（3）安全工作人员的情况、数量、任务分配、岗位职责和识</w:t>
      </w:r>
    </w:p>
    <w:p w14:paraId="67DD141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别标志； </w:t>
      </w:r>
    </w:p>
    <w:p w14:paraId="7C83CC1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（4）活动场所建筑物、临时搭建设施的基本情况，设计、施工单位资质证书以及安全状况等； </w:t>
      </w:r>
    </w:p>
    <w:p w14:paraId="61968C5B">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（5）活动场所消防安全措施； </w:t>
      </w:r>
    </w:p>
    <w:p w14:paraId="530376A4">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（6）治安缓冲区域、应急疏散通道、应急广播、应急照明、</w:t>
      </w:r>
    </w:p>
    <w:p w14:paraId="67138F1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医疗救护、无障碍通道等设施、设备设置情况和标识； </w:t>
      </w:r>
    </w:p>
    <w:p w14:paraId="12E2372B">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（7）交通组织管理措施及交通组织示意图，包括预计参加活</w:t>
      </w:r>
    </w:p>
    <w:p w14:paraId="37B033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动的车辆数量，停车场地及临时停车区域的设置、位置、容量、标识、引导提示牌、通道示意图以及停放、管理，周边道路交通分流、引导和管控措施等； </w:t>
      </w:r>
    </w:p>
    <w:p w14:paraId="2086019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（8）现场秩序维护、人员疏导措施； </w:t>
      </w:r>
    </w:p>
    <w:p w14:paraId="46E2E386">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（9）预计参加活动现场采访的新闻媒体记者的单位、数量、</w:t>
      </w:r>
    </w:p>
    <w:p w14:paraId="6DB8387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采访区域等基本情况以及引导措施等； </w:t>
      </w:r>
    </w:p>
    <w:p w14:paraId="69C414E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（10）应对突发灾害性天气的措施； </w:t>
      </w:r>
    </w:p>
    <w:p w14:paraId="33940FD5">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（11）可能影响现场秩序、威胁公共安全的各类突发事件紧</w:t>
      </w:r>
    </w:p>
    <w:p w14:paraId="344938F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急疏散、抢险自救、应急保障等应急救援预案；</w:t>
      </w:r>
    </w:p>
    <w:p w14:paraId="6AD05E9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（12）安全风险评估报告情况。</w:t>
      </w:r>
    </w:p>
    <w:p w14:paraId="2D21FADB">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 大型活动使用票证的，安全保障方案还应当包括票证样本、管理方案及查验票证的措施；大型活动采取安检措施的，安全工作方案还应当包括按照相应安全风险等级制定的安检方案。</w:t>
      </w:r>
    </w:p>
    <w:p w14:paraId="1FE63D4B">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仿宋" w:cs="Times New Roman"/>
          <w:color w:val="auto"/>
          <w:sz w:val="32"/>
          <w:szCs w:val="32"/>
          <w:u w:val="none"/>
        </w:rPr>
      </w:pPr>
    </w:p>
    <w:p w14:paraId="025D4D32">
      <w:pPr>
        <w:pStyle w:val="2"/>
        <w:rPr>
          <w:rFonts w:hint="default" w:ascii="Times New Roman" w:hAnsi="Times New Roman" w:eastAsia="仿宋" w:cs="Times New Roman"/>
          <w:color w:val="auto"/>
          <w:sz w:val="32"/>
          <w:szCs w:val="32"/>
          <w:u w:val="none"/>
        </w:rPr>
      </w:pPr>
    </w:p>
    <w:p w14:paraId="1E3BCBE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二、活动安全生产承诺书</w:t>
      </w:r>
    </w:p>
    <w:p w14:paraId="308ADA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20C0D0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为进一步落实安全生产主体责任，防止和减少生产安全事故发生，确保</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b w:val="0"/>
          <w:bCs w:val="0"/>
          <w:color w:val="auto"/>
          <w:sz w:val="32"/>
          <w:szCs w:val="32"/>
          <w:lang w:val="en-US" w:eastAsia="zh-CN"/>
        </w:rPr>
        <w:t>活动平稳有序地开展，本单位郑重承诺如下：</w:t>
      </w:r>
    </w:p>
    <w:p w14:paraId="246159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一、认真执行“安全第一、预防为主、综合治理、全员参与”的安全生产方针，遵守各项安全生产制度和规定，保障现场人员的生命财产安全，促进活动的顺利开展。</w:t>
      </w:r>
    </w:p>
    <w:p w14:paraId="69CA50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二、落实各级部门、负责人的安全生产职责，严格履行本岗位的安全生产责任，通过“一岗一责制”形成畅通的安全生产职责网络。</w:t>
      </w:r>
    </w:p>
    <w:p w14:paraId="4DA223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三、建立健全各项规章制度，强化员工安全教育，提高员工安全生产意识，严格按照管理规定进行用电、施工、高空作业等。</w:t>
      </w:r>
    </w:p>
    <w:p w14:paraId="10F653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四、全面统筹相关资源，保障活动期间的人力、物力、财力资源储备，科学管理、充分调动各项资源，以确保各岗位间工作的持续运转，和活动环节间的流畅衔接。</w:t>
      </w:r>
    </w:p>
    <w:p w14:paraId="7458C6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五、建立健全监督机制，动员全体员工参与到安全生产的检查和监督工作中，及时排查、整改相关问题，督促负责人消除事故隐患，坚决反对违章指挥、违章作业和违反劳动纪律的行为。</w:t>
      </w:r>
    </w:p>
    <w:p w14:paraId="6F7028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六、针对高发型事故制定应急救援预案，定期组织演练，及时查漏补缺，不断完善应急预案。在事故发生时果断处置，防止事态扩大和蔓延，并按程序及时上报，全力协助对事故的调查处理。</w:t>
      </w:r>
    </w:p>
    <w:p w14:paraId="701397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七、单位全体员工自觉接受上级领导和安全职能人员的安全检查与监督，确保活动期间不发生各类生产安全事故。</w:t>
      </w:r>
    </w:p>
    <w:p w14:paraId="04E7D1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本单位将严格遵守国家安全生产各项法律、法规，认真做好本次活动的各环节安全生产工作，确保不发生各类生产安全事故，确保嘉宾和市民游客的人身安全。</w:t>
      </w:r>
    </w:p>
    <w:p w14:paraId="72C361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14:paraId="422A3000">
      <w:pPr>
        <w:spacing w:line="460" w:lineRule="exact"/>
        <w:rPr>
          <w:rFonts w:hint="default" w:ascii="Times New Roman" w:hAnsi="Times New Roman" w:eastAsia="宋体" w:cs="Times New Roman"/>
          <w:color w:val="auto"/>
          <w:sz w:val="28"/>
          <w:szCs w:val="28"/>
        </w:rPr>
      </w:pPr>
    </w:p>
    <w:p w14:paraId="423443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0CA11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承诺单位：（盖章）</w:t>
      </w:r>
    </w:p>
    <w:p w14:paraId="479766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主要负责人：     </w:t>
      </w:r>
      <w:r>
        <w:rPr>
          <w:rFonts w:hint="default" w:ascii="Times New Roman" w:hAnsi="Times New Roman" w:eastAsia="仿宋_GB2312" w:cs="Times New Roman"/>
          <w:b w:val="0"/>
          <w:bCs w:val="0"/>
          <w:color w:val="auto"/>
          <w:sz w:val="32"/>
          <w:szCs w:val="32"/>
          <w:lang w:val="en-US" w:eastAsia="zh-CN"/>
        </w:rPr>
        <w:tab/>
      </w:r>
    </w:p>
    <w:p w14:paraId="5CEA28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20" w:firstLineChars="11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时间：</w:t>
      </w:r>
    </w:p>
    <w:p w14:paraId="4945A46A">
      <w:pPr>
        <w:jc w:val="center"/>
        <w:rPr>
          <w:rFonts w:hint="eastAsia" w:ascii="微软简标宋" w:hAnsi="微软简标宋" w:eastAsia="微软简标宋" w:cs="微软简标宋"/>
          <w:color w:val="auto"/>
          <w:sz w:val="44"/>
          <w:szCs w:val="44"/>
          <w:lang w:val="en-US" w:eastAsia="zh-CN"/>
        </w:rPr>
      </w:pPr>
    </w:p>
    <w:p w14:paraId="7859E4CD">
      <w:pPr>
        <w:jc w:val="center"/>
        <w:rPr>
          <w:rFonts w:hint="eastAsia" w:ascii="微软简标宋" w:hAnsi="微软简标宋" w:eastAsia="微软简标宋" w:cs="微软简标宋"/>
          <w:color w:val="auto"/>
          <w:sz w:val="44"/>
          <w:szCs w:val="44"/>
          <w:lang w:val="en-US" w:eastAsia="zh-CN"/>
        </w:rPr>
      </w:pPr>
    </w:p>
    <w:p w14:paraId="3C91B831">
      <w:pPr>
        <w:jc w:val="center"/>
        <w:rPr>
          <w:rFonts w:hint="eastAsia" w:ascii="微软简标宋" w:hAnsi="微软简标宋" w:eastAsia="微软简标宋" w:cs="微软简标宋"/>
          <w:color w:val="auto"/>
          <w:sz w:val="44"/>
          <w:szCs w:val="44"/>
          <w:lang w:val="en-US" w:eastAsia="zh-CN"/>
        </w:rPr>
      </w:pPr>
    </w:p>
    <w:p w14:paraId="7913B7A0">
      <w:pPr>
        <w:jc w:val="center"/>
        <w:rPr>
          <w:rFonts w:hint="eastAsia" w:ascii="微软简标宋" w:hAnsi="微软简标宋" w:eastAsia="微软简标宋" w:cs="微软简标宋"/>
          <w:color w:val="auto"/>
          <w:sz w:val="44"/>
          <w:szCs w:val="44"/>
          <w:lang w:val="en-US" w:eastAsia="zh-CN"/>
        </w:rPr>
      </w:pPr>
    </w:p>
    <w:p w14:paraId="63556C5E">
      <w:pPr>
        <w:jc w:val="center"/>
        <w:rPr>
          <w:rFonts w:hint="eastAsia" w:ascii="微软简标宋" w:hAnsi="微软简标宋" w:eastAsia="微软简标宋" w:cs="微软简标宋"/>
          <w:color w:val="auto"/>
          <w:sz w:val="44"/>
          <w:szCs w:val="44"/>
          <w:lang w:val="en-US" w:eastAsia="zh-CN"/>
        </w:rPr>
      </w:pPr>
    </w:p>
    <w:p w14:paraId="19E703D9">
      <w:pPr>
        <w:pStyle w:val="2"/>
        <w:rPr>
          <w:rFonts w:hint="eastAsia"/>
          <w:lang w:val="en-US" w:eastAsia="zh-CN"/>
        </w:rPr>
      </w:pPr>
    </w:p>
    <w:p w14:paraId="0A4D347B">
      <w:pPr>
        <w:jc w:val="center"/>
        <w:rPr>
          <w:rFonts w:hint="eastAsia" w:ascii="微软简标宋" w:hAnsi="微软简标宋" w:eastAsia="微软简标宋" w:cs="微软简标宋"/>
          <w:color w:val="auto"/>
          <w:sz w:val="44"/>
          <w:szCs w:val="44"/>
          <w:lang w:val="en-US" w:eastAsia="zh-CN"/>
        </w:rPr>
      </w:pPr>
    </w:p>
    <w:p w14:paraId="542EDF51">
      <w:pPr>
        <w:jc w:val="center"/>
        <w:rPr>
          <w:rFonts w:hint="eastAsia" w:ascii="微软简标宋" w:hAnsi="微软简标宋" w:eastAsia="微软简标宋" w:cs="微软简标宋"/>
          <w:color w:val="auto"/>
          <w:sz w:val="44"/>
          <w:szCs w:val="44"/>
          <w:lang w:val="en-US" w:eastAsia="zh-CN"/>
        </w:rPr>
      </w:pPr>
    </w:p>
    <w:p w14:paraId="6A7500F5">
      <w:pPr>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三、历史相关材料</w:t>
      </w:r>
    </w:p>
    <w:p w14:paraId="1EE9E9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（包括活动历史成功案例、举办效果、举办方历史经验等）</w:t>
      </w:r>
    </w:p>
    <w:p w14:paraId="762928E3">
      <w:pPr>
        <w:pStyle w:val="2"/>
        <w:rPr>
          <w:rFonts w:hint="eastAsia" w:ascii="仿宋" w:hAnsi="仿宋" w:eastAsia="仿宋" w:cs="仿宋"/>
          <w:color w:val="auto"/>
          <w:sz w:val="32"/>
          <w:szCs w:val="32"/>
          <w:lang w:eastAsia="zh-CN"/>
        </w:rPr>
      </w:pPr>
    </w:p>
    <w:p w14:paraId="60F389BC">
      <w:pPr>
        <w:rPr>
          <w:rFonts w:hint="eastAsia"/>
          <w:color w:val="auto"/>
          <w:lang w:eastAsia="zh-CN"/>
        </w:rPr>
      </w:pPr>
    </w:p>
    <w:p w14:paraId="74E48C93">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四、授权证明材料</w:t>
      </w:r>
    </w:p>
    <w:p w14:paraId="0F8FA89C">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（通过授权获得举办权的活动，需提供授权证明材料）</w:t>
      </w:r>
    </w:p>
    <w:p w14:paraId="2830DC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小标宋简体" w:cs="Times New Roman"/>
          <w:color w:val="auto"/>
          <w:sz w:val="44"/>
          <w:szCs w:val="44"/>
          <w:lang w:eastAsia="zh-CN"/>
        </w:rPr>
      </w:pPr>
    </w:p>
    <w:p w14:paraId="24D64ECD">
      <w:pPr>
        <w:rPr>
          <w:color w:val="auto"/>
        </w:rPr>
      </w:pPr>
    </w:p>
    <w:p w14:paraId="0E991C55">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五、主办方法定代表人、主要负责人身份证件或登记、注册的证明材料及复印件（加盖公章）</w:t>
      </w:r>
    </w:p>
    <w:p w14:paraId="523D75D2">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169B3666">
      <w:pPr>
        <w:pStyle w:val="2"/>
        <w:rPr>
          <w:rFonts w:hint="eastAsia"/>
          <w:color w:val="auto"/>
          <w:lang w:val="en-US" w:eastAsia="zh-CN"/>
        </w:rPr>
      </w:pPr>
    </w:p>
    <w:p w14:paraId="5782988D">
      <w:pPr>
        <w:rPr>
          <w:rFonts w:hint="eastAsia"/>
          <w:lang w:val="en-US" w:eastAsia="zh-CN"/>
        </w:rPr>
      </w:pPr>
    </w:p>
    <w:p w14:paraId="776DD2CC">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六、近一年纳税凭证和社会保障金缴费凭证</w:t>
      </w:r>
    </w:p>
    <w:p w14:paraId="43F38B84">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78D67843">
      <w:pPr>
        <w:pStyle w:val="2"/>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color w:val="auto"/>
          <w:kern w:val="2"/>
          <w:sz w:val="32"/>
          <w:szCs w:val="32"/>
          <w:lang w:val="en-US" w:eastAsia="zh-CN" w:bidi="ar-SA"/>
        </w:rPr>
        <w:t>【成立超过1年的，须提供一整年的完税证明和社保缴费凭证】</w:t>
      </w:r>
    </w:p>
    <w:p w14:paraId="5AD524C4">
      <w:pPr>
        <w:rPr>
          <w:rFonts w:hint="eastAsia"/>
          <w:color w:val="auto"/>
          <w:lang w:val="en-US" w:eastAsia="zh-CN"/>
        </w:rPr>
      </w:pPr>
    </w:p>
    <w:p w14:paraId="0535C115">
      <w:pPr>
        <w:pStyle w:val="2"/>
        <w:jc w:val="center"/>
        <w:rPr>
          <w:rFonts w:hint="eastAsia" w:ascii="微软简标宋" w:hAnsi="微软简标宋" w:eastAsia="微软简标宋" w:cs="微软简标宋"/>
          <w:color w:val="auto"/>
          <w:kern w:val="2"/>
          <w:sz w:val="44"/>
          <w:szCs w:val="44"/>
          <w:lang w:val="en-US" w:eastAsia="zh-CN" w:bidi="ar-SA"/>
        </w:rPr>
      </w:pPr>
    </w:p>
    <w:p w14:paraId="2A72799E">
      <w:pPr>
        <w:pStyle w:val="2"/>
        <w:jc w:val="center"/>
        <w:rPr>
          <w:rFonts w:hint="eastAsia" w:ascii="微软简标宋" w:hAnsi="微软简标宋" w:eastAsia="微软简标宋" w:cs="微软简标宋"/>
          <w:color w:val="auto"/>
          <w:kern w:val="2"/>
          <w:sz w:val="44"/>
          <w:szCs w:val="44"/>
          <w:lang w:val="en-US" w:eastAsia="zh-CN" w:bidi="ar-SA"/>
        </w:rPr>
      </w:pPr>
      <w:r>
        <w:rPr>
          <w:rFonts w:hint="eastAsia" w:ascii="微软简标宋" w:hAnsi="微软简标宋" w:eastAsia="微软简标宋" w:cs="微软简标宋"/>
          <w:color w:val="auto"/>
          <w:kern w:val="2"/>
          <w:sz w:val="44"/>
          <w:szCs w:val="44"/>
          <w:lang w:val="en-US" w:eastAsia="zh-CN" w:bidi="ar-SA"/>
        </w:rPr>
        <w:t>七、近三年无失信、违法违规行为证明</w:t>
      </w:r>
    </w:p>
    <w:p w14:paraId="76F2857F">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7731B400">
      <w:pPr>
        <w:jc w:val="center"/>
        <w:rPr>
          <w:rFonts w:hint="eastAsia" w:ascii="微软简标宋" w:hAnsi="微软简标宋" w:eastAsia="微软简标宋" w:cs="微软简标宋"/>
          <w:color w:val="auto"/>
          <w:sz w:val="44"/>
          <w:szCs w:val="44"/>
          <w:lang w:val="en-US" w:eastAsia="zh-CN"/>
        </w:rPr>
      </w:pPr>
      <w:r>
        <w:rPr>
          <w:rFonts w:hint="eastAsia" w:ascii="仿宋_GB2312" w:hAnsi="仿宋_GB2312" w:cs="仿宋_GB2312"/>
          <w:b w:val="0"/>
          <w:bCs w:val="0"/>
          <w:color w:val="auto"/>
          <w:kern w:val="2"/>
          <w:sz w:val="32"/>
          <w:szCs w:val="32"/>
          <w:lang w:val="en-US" w:eastAsia="zh-CN" w:bidi="ar-SA"/>
        </w:rPr>
        <w:t>【提供“信用中国”等信用平台的查询结果等证明材料】</w:t>
      </w:r>
      <w:r>
        <w:rPr>
          <w:rFonts w:hint="eastAsia" w:ascii="Times New Roman" w:eastAsia="宋体"/>
          <w:color w:val="auto"/>
          <w:lang w:val="en-US" w:eastAsia="zh-CN"/>
        </w:rPr>
        <w:br w:type="page"/>
      </w:r>
      <w:r>
        <w:rPr>
          <w:rFonts w:hint="eastAsia" w:ascii="微软简标宋" w:hAnsi="微软简标宋" w:eastAsia="微软简标宋" w:cs="微软简标宋"/>
          <w:color w:val="auto"/>
          <w:sz w:val="44"/>
          <w:szCs w:val="44"/>
          <w:lang w:val="en-US" w:eastAsia="zh-CN"/>
        </w:rPr>
        <w:t>八、信用承诺书</w:t>
      </w:r>
    </w:p>
    <w:p w14:paraId="52BC5542">
      <w:pPr>
        <w:pStyle w:val="2"/>
        <w:keepNext w:val="0"/>
        <w:keepLines w:val="0"/>
        <w:pageBreakBefore w:val="0"/>
        <w:widowControl w:val="0"/>
        <w:kinsoku/>
        <w:wordWrap/>
        <w:overflowPunct/>
        <w:topLinePunct w:val="0"/>
        <w:autoSpaceDE/>
        <w:autoSpaceDN/>
        <w:bidi w:val="0"/>
        <w:adjustRightInd/>
        <w:snapToGrid/>
        <w:spacing w:line="540" w:lineRule="exact"/>
        <w:rPr>
          <w:rFonts w:hint="eastAsia"/>
          <w:color w:val="auto"/>
          <w:lang w:val="en-US" w:eastAsia="zh-CN"/>
        </w:rPr>
      </w:pPr>
    </w:p>
    <w:p w14:paraId="0F0C8E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为确保XXX活动平稳有序地开展，本单位郑重承诺如下：</w:t>
      </w:r>
    </w:p>
    <w:p w14:paraId="21FA23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 承诺所有资料或信息均合法、真实、准确和有效，并对所提供的资料真实性负责。</w:t>
      </w:r>
    </w:p>
    <w:p w14:paraId="17EBB6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（二）承诺严格按照国家法律、法规和规章，按照要求规范管理，强化自律，诚实守信，不造假，不违约毁约，履行应尽的责任和义务；</w:t>
      </w:r>
    </w:p>
    <w:p w14:paraId="7D19F4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（三）承诺严格按照竞赛规程举办比赛，赛前组织各岗位人员参加赛前培训，保证赛事公平、公正。</w:t>
      </w:r>
    </w:p>
    <w:p w14:paraId="05F6E5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（四）承诺资金使用严格按照主管部门要求，不造假，不偷税漏税。</w:t>
      </w:r>
    </w:p>
    <w:p w14:paraId="228541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（五）自觉接受主管部门和相关职能部门的指导、检查及监管，严格按照相关部门指导意见举办比赛。</w:t>
      </w:r>
      <w:r>
        <w:rPr>
          <w:rFonts w:hint="default" w:ascii="仿宋_GB2312" w:hAnsi="仿宋_GB2312" w:eastAsia="仿宋_GB2312" w:cs="仿宋_GB2312"/>
          <w:b w:val="0"/>
          <w:bCs w:val="0"/>
          <w:color w:val="auto"/>
          <w:sz w:val="32"/>
          <w:szCs w:val="32"/>
          <w:lang w:val="en-US" w:eastAsia="zh-CN"/>
        </w:rPr>
        <w:t>自觉接受社会公众、</w:t>
      </w:r>
      <w:r>
        <w:rPr>
          <w:rFonts w:hint="eastAsia" w:ascii="仿宋_GB2312" w:hAnsi="仿宋_GB2312" w:eastAsia="仿宋_GB2312" w:cs="仿宋_GB2312"/>
          <w:b w:val="0"/>
          <w:bCs w:val="0"/>
          <w:color w:val="auto"/>
          <w:sz w:val="32"/>
          <w:szCs w:val="32"/>
          <w:lang w:val="en-US" w:eastAsia="zh-CN"/>
        </w:rPr>
        <w:t>新闻舆论</w:t>
      </w:r>
      <w:r>
        <w:rPr>
          <w:rFonts w:hint="default" w:ascii="仿宋_GB2312" w:hAnsi="仿宋_GB2312" w:eastAsia="仿宋_GB2312" w:cs="仿宋_GB2312"/>
          <w:b w:val="0"/>
          <w:bCs w:val="0"/>
          <w:color w:val="auto"/>
          <w:sz w:val="32"/>
          <w:szCs w:val="32"/>
          <w:lang w:val="en-US" w:eastAsia="zh-CN"/>
        </w:rPr>
        <w:t>的监督。 </w:t>
      </w:r>
    </w:p>
    <w:p w14:paraId="05454C21">
      <w:pPr>
        <w:rPr>
          <w:rFonts w:hint="default" w:ascii="仿宋_GB2312" w:hAnsi="仿宋_GB2312" w:eastAsia="仿宋_GB2312" w:cs="仿宋_GB2312"/>
          <w:b w:val="0"/>
          <w:bCs w:val="0"/>
          <w:color w:val="auto"/>
          <w:sz w:val="32"/>
          <w:szCs w:val="32"/>
          <w:lang w:val="en-US" w:eastAsia="zh-CN"/>
        </w:rPr>
      </w:pPr>
    </w:p>
    <w:p w14:paraId="7C333123">
      <w:pPr>
        <w:pStyle w:val="2"/>
        <w:rPr>
          <w:rFonts w:hint="eastAsia"/>
          <w:color w:val="auto"/>
          <w:lang w:val="en-US" w:eastAsia="zh-CN"/>
        </w:rPr>
      </w:pPr>
    </w:p>
    <w:p w14:paraId="1BC5AD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宋体" w:hAnsi="宋体"/>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承诺单位：（盖章）</w:t>
      </w:r>
    </w:p>
    <w:p w14:paraId="05510C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主要负责人：     </w:t>
      </w:r>
      <w:r>
        <w:rPr>
          <w:rFonts w:hint="eastAsia" w:ascii="仿宋_GB2312" w:hAnsi="仿宋_GB2312" w:eastAsia="仿宋_GB2312" w:cs="仿宋_GB2312"/>
          <w:b w:val="0"/>
          <w:bCs w:val="0"/>
          <w:color w:val="auto"/>
          <w:sz w:val="32"/>
          <w:szCs w:val="32"/>
          <w:lang w:val="en-US" w:eastAsia="zh-CN"/>
        </w:rPr>
        <w:tab/>
      </w:r>
    </w:p>
    <w:p w14:paraId="2F785466">
      <w:pPr>
        <w:keepNext w:val="0"/>
        <w:keepLines w:val="0"/>
        <w:pageBreakBefore w:val="0"/>
        <w:widowControl w:val="0"/>
        <w:kinsoku/>
        <w:wordWrap/>
        <w:overflowPunct/>
        <w:topLinePunct w:val="0"/>
        <w:autoSpaceDE/>
        <w:autoSpaceDN/>
        <w:bidi w:val="0"/>
        <w:adjustRightInd/>
        <w:snapToGrid/>
        <w:spacing w:line="240" w:lineRule="auto"/>
        <w:ind w:right="0" w:rightChars="0" w:firstLine="2880" w:firstLineChars="9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时间：</w:t>
      </w:r>
    </w:p>
    <w:p w14:paraId="401CBD11"/>
    <w:sectPr>
      <w:footerReference r:id="rId4" w:type="default"/>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FD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A246FB">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2A246FB">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132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0EF917">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4D0EF917">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00000000"/>
    <w:rsid w:val="033552CD"/>
    <w:rsid w:val="068D470D"/>
    <w:rsid w:val="06D6179B"/>
    <w:rsid w:val="06F41554"/>
    <w:rsid w:val="087E3A1D"/>
    <w:rsid w:val="0A0A189F"/>
    <w:rsid w:val="0A381BC7"/>
    <w:rsid w:val="0A474359"/>
    <w:rsid w:val="0BFA5C8C"/>
    <w:rsid w:val="0E750AB2"/>
    <w:rsid w:val="10CA32D3"/>
    <w:rsid w:val="1382777D"/>
    <w:rsid w:val="13B62F37"/>
    <w:rsid w:val="13E76BAD"/>
    <w:rsid w:val="145B12A4"/>
    <w:rsid w:val="149442A5"/>
    <w:rsid w:val="14BA3149"/>
    <w:rsid w:val="14FB2910"/>
    <w:rsid w:val="1653052A"/>
    <w:rsid w:val="172123D6"/>
    <w:rsid w:val="17B943BD"/>
    <w:rsid w:val="18420856"/>
    <w:rsid w:val="18A2481E"/>
    <w:rsid w:val="197661CD"/>
    <w:rsid w:val="19914F2C"/>
    <w:rsid w:val="19BC2548"/>
    <w:rsid w:val="19ED6B32"/>
    <w:rsid w:val="1A2A5067"/>
    <w:rsid w:val="1ADA1785"/>
    <w:rsid w:val="1BBD40B2"/>
    <w:rsid w:val="1BD21D20"/>
    <w:rsid w:val="1C5B3C94"/>
    <w:rsid w:val="1D1327C1"/>
    <w:rsid w:val="1F8641DE"/>
    <w:rsid w:val="1FE90A71"/>
    <w:rsid w:val="1FFA12D5"/>
    <w:rsid w:val="21975FD3"/>
    <w:rsid w:val="21D73DBD"/>
    <w:rsid w:val="236F4466"/>
    <w:rsid w:val="2599527F"/>
    <w:rsid w:val="25BE528E"/>
    <w:rsid w:val="264C1A99"/>
    <w:rsid w:val="27351CB2"/>
    <w:rsid w:val="2A99304B"/>
    <w:rsid w:val="2A9D4F4A"/>
    <w:rsid w:val="2B2312A8"/>
    <w:rsid w:val="2E007BAE"/>
    <w:rsid w:val="2E5B9337"/>
    <w:rsid w:val="2F723377"/>
    <w:rsid w:val="303D384E"/>
    <w:rsid w:val="3301297C"/>
    <w:rsid w:val="331C18E8"/>
    <w:rsid w:val="33235113"/>
    <w:rsid w:val="35537CD0"/>
    <w:rsid w:val="36497F39"/>
    <w:rsid w:val="365E73B1"/>
    <w:rsid w:val="37706B63"/>
    <w:rsid w:val="399F3513"/>
    <w:rsid w:val="3AD244C6"/>
    <w:rsid w:val="3C9B6187"/>
    <w:rsid w:val="3C9D0E6C"/>
    <w:rsid w:val="3CA24510"/>
    <w:rsid w:val="3CC85A6E"/>
    <w:rsid w:val="40176CC9"/>
    <w:rsid w:val="418823FA"/>
    <w:rsid w:val="42BC458D"/>
    <w:rsid w:val="42C35F6C"/>
    <w:rsid w:val="43B86606"/>
    <w:rsid w:val="476B414A"/>
    <w:rsid w:val="49A34425"/>
    <w:rsid w:val="4ADD58ED"/>
    <w:rsid w:val="4B8244C6"/>
    <w:rsid w:val="4BD905AE"/>
    <w:rsid w:val="4C687565"/>
    <w:rsid w:val="4E95150A"/>
    <w:rsid w:val="50BD42FB"/>
    <w:rsid w:val="52B4767F"/>
    <w:rsid w:val="536C79D0"/>
    <w:rsid w:val="53DC50DF"/>
    <w:rsid w:val="541A79B6"/>
    <w:rsid w:val="568850AA"/>
    <w:rsid w:val="56E9366F"/>
    <w:rsid w:val="57FF02B2"/>
    <w:rsid w:val="58BA0A6D"/>
    <w:rsid w:val="595D7738"/>
    <w:rsid w:val="598D1CFE"/>
    <w:rsid w:val="59FBA363"/>
    <w:rsid w:val="5AE72E6F"/>
    <w:rsid w:val="5B483F4E"/>
    <w:rsid w:val="5BBA7A00"/>
    <w:rsid w:val="5BE11A63"/>
    <w:rsid w:val="5C6C5CFD"/>
    <w:rsid w:val="5CC93D27"/>
    <w:rsid w:val="5CFF1E3E"/>
    <w:rsid w:val="5F05379E"/>
    <w:rsid w:val="5F6D3808"/>
    <w:rsid w:val="608368E3"/>
    <w:rsid w:val="60E91231"/>
    <w:rsid w:val="620558D6"/>
    <w:rsid w:val="621950C1"/>
    <w:rsid w:val="644C1634"/>
    <w:rsid w:val="64520255"/>
    <w:rsid w:val="652B5870"/>
    <w:rsid w:val="65D75478"/>
    <w:rsid w:val="68BB526D"/>
    <w:rsid w:val="68E779E3"/>
    <w:rsid w:val="691C0413"/>
    <w:rsid w:val="69BB4E8B"/>
    <w:rsid w:val="6CD200F4"/>
    <w:rsid w:val="6DE91D6D"/>
    <w:rsid w:val="6F6F59CE"/>
    <w:rsid w:val="71CE4F77"/>
    <w:rsid w:val="72A70ACB"/>
    <w:rsid w:val="734B14D3"/>
    <w:rsid w:val="74634609"/>
    <w:rsid w:val="76A72158"/>
    <w:rsid w:val="76F6498D"/>
    <w:rsid w:val="782C0D59"/>
    <w:rsid w:val="786F2F93"/>
    <w:rsid w:val="78D12B28"/>
    <w:rsid w:val="799C3A1E"/>
    <w:rsid w:val="79FB5729"/>
    <w:rsid w:val="7AF7006F"/>
    <w:rsid w:val="7AFEB073"/>
    <w:rsid w:val="7D7842B0"/>
    <w:rsid w:val="7E36397C"/>
    <w:rsid w:val="7F574129"/>
    <w:rsid w:val="7FF511E2"/>
    <w:rsid w:val="7FFF1D41"/>
    <w:rsid w:val="9FFDA9A2"/>
    <w:rsid w:val="B3BFC237"/>
    <w:rsid w:val="DF7D7E67"/>
    <w:rsid w:val="F74BF636"/>
    <w:rsid w:val="FFF6B470"/>
    <w:rsid w:val="FFF8C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textAlignment w:val="baseline"/>
    </w:pPr>
    <w:rPr>
      <w:rFonts w:ascii="Times New Roman" w:hAnsi="Times New Roman" w:eastAsia="仿宋_GB2312" w:cs="Times New Roman"/>
      <w:kern w:val="2"/>
      <w:sz w:val="32"/>
      <w:lang w:val="en-US" w:eastAsia="zh-CN" w:bidi="ar-SA"/>
    </w:rPr>
  </w:style>
  <w:style w:type="paragraph" w:styleId="3">
    <w:name w:val="footer"/>
    <w:basedOn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4161</Words>
  <Characters>4437</Characters>
  <Lines>0</Lines>
  <Paragraphs>0</Paragraphs>
  <TotalTime>0</TotalTime>
  <ScaleCrop>false</ScaleCrop>
  <LinksUpToDate>false</LinksUpToDate>
  <CharactersWithSpaces>4747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2021-07-21T17:25:00Z</dcterms:created>
  <dc:creator>DELL</dc:creator>
  <cp:lastModifiedBy>季雨</cp:lastModifiedBy>
  <dcterms:modified xsi:type="dcterms:W3CDTF">2024-09-11T02:40:56Z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3D6C4D91B34B4DCC889F15DAAB3650C4_13</vt:lpwstr>
  </property>
</Properties>
</file>