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line="578" w:lineRule="exact"/>
        <w:ind w:left="0"/>
        <w:jc w:val="center"/>
        <w:textAlignment w:val="auto"/>
        <w:rPr>
          <w:rFonts w:hint="eastAsia" w:ascii="Times New Roman" w:hAnsi="微软雅黑" w:eastAsia="方正小标宋简体" w:cs="宋体"/>
          <w:color w:val="auto"/>
          <w:kern w:val="36"/>
          <w:sz w:val="44"/>
          <w:szCs w:val="48"/>
          <w:lang w:val="en-US" w:eastAsia="zh-CN" w:bidi="ar-SA"/>
          <w14:ligatures w14:val="none"/>
        </w:rPr>
      </w:pPr>
    </w:p>
    <w:p>
      <w:pPr>
        <w:pStyle w:val="3"/>
        <w:keepNext w:val="0"/>
        <w:keepLines w:val="0"/>
        <w:pageBreakBefore w:val="0"/>
        <w:kinsoku/>
        <w:wordWrap/>
        <w:overflowPunct/>
        <w:topLinePunct w:val="0"/>
        <w:autoSpaceDE/>
        <w:autoSpaceDN/>
        <w:bidi w:val="0"/>
        <w:adjustRightInd/>
        <w:snapToGrid/>
        <w:spacing w:after="0" w:line="578" w:lineRule="exact"/>
        <w:ind w:left="0"/>
        <w:jc w:val="center"/>
        <w:textAlignment w:val="auto"/>
        <w:rPr>
          <w:rFonts w:hint="eastAsia" w:ascii="Times New Roman" w:hAnsi="微软雅黑" w:eastAsia="方正小标宋简体" w:cs="宋体"/>
          <w:color w:val="auto"/>
          <w:kern w:val="36"/>
          <w:sz w:val="44"/>
          <w:szCs w:val="48"/>
          <w:lang w:val="en-US" w:eastAsia="zh-CN" w:bidi="ar-SA"/>
          <w14:ligatures w14:val="none"/>
        </w:rPr>
      </w:pPr>
      <w:r>
        <w:rPr>
          <w:rFonts w:hint="eastAsia" w:ascii="Times New Roman" w:hAnsi="微软雅黑" w:eastAsia="方正小标宋简体" w:cs="宋体"/>
          <w:color w:val="auto"/>
          <w:kern w:val="36"/>
          <w:sz w:val="44"/>
          <w:szCs w:val="48"/>
          <w:lang w:val="en-US" w:eastAsia="zh-CN" w:bidi="ar-SA"/>
          <w14:ligatures w14:val="none"/>
        </w:rPr>
        <w:t>《三亚市支持知名电竞品牌商事主体落地</w:t>
      </w:r>
    </w:p>
    <w:p>
      <w:pPr>
        <w:pStyle w:val="3"/>
        <w:keepNext w:val="0"/>
        <w:keepLines w:val="0"/>
        <w:pageBreakBefore w:val="0"/>
        <w:kinsoku/>
        <w:wordWrap/>
        <w:overflowPunct/>
        <w:topLinePunct w:val="0"/>
        <w:autoSpaceDE/>
        <w:autoSpaceDN/>
        <w:bidi w:val="0"/>
        <w:adjustRightInd/>
        <w:snapToGrid/>
        <w:spacing w:after="0" w:line="578" w:lineRule="exact"/>
        <w:ind w:left="0"/>
        <w:jc w:val="center"/>
        <w:textAlignment w:val="auto"/>
        <w:rPr>
          <w:rFonts w:hint="eastAsia" w:ascii="Times New Roman" w:hAnsi="微软雅黑" w:eastAsia="方正小标宋简体" w:cs="宋体"/>
          <w:color w:val="auto"/>
          <w:kern w:val="36"/>
          <w:sz w:val="44"/>
          <w:szCs w:val="48"/>
          <w:lang w:val="en-US" w:eastAsia="zh-CN" w:bidi="ar-SA"/>
          <w14:ligatures w14:val="none"/>
        </w:rPr>
      </w:pPr>
      <w:r>
        <w:rPr>
          <w:rFonts w:hint="eastAsia" w:ascii="Times New Roman" w:hAnsi="微软雅黑" w:eastAsia="方正小标宋简体" w:cs="宋体"/>
          <w:color w:val="auto"/>
          <w:kern w:val="36"/>
          <w:sz w:val="44"/>
          <w:szCs w:val="48"/>
          <w:lang w:val="en-US" w:eastAsia="zh-CN" w:bidi="ar-SA"/>
          <w14:ligatures w14:val="none"/>
        </w:rPr>
        <w:t>奖励实施细则》政策解读</w:t>
      </w:r>
    </w:p>
    <w:p>
      <w:pPr>
        <w:keepNext w:val="0"/>
        <w:keepLines w:val="0"/>
        <w:pageBreakBefore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rPr>
      </w:pPr>
      <w:r>
        <w:rPr>
          <w:rFonts w:hint="default" w:ascii="Times New Roman" w:eastAsia="仿宋_GB2312"/>
          <w:color w:val="auto"/>
          <w:sz w:val="32"/>
        </w:rPr>
        <w:t>为贯彻落实</w:t>
      </w:r>
      <w:r>
        <w:rPr>
          <w:rFonts w:hint="eastAsia" w:ascii="Times New Roman" w:eastAsia="仿宋_GB2312"/>
          <w:color w:val="auto"/>
          <w:sz w:val="32"/>
        </w:rPr>
        <w:t>《三亚市加强文体旅商展联动进一步促进消费的若干措施》（三</w:t>
      </w:r>
      <w:r>
        <w:rPr>
          <w:rFonts w:hint="eastAsia" w:ascii="Times New Roman" w:eastAsia="仿宋_GB2312"/>
          <w:color w:val="auto"/>
          <w:sz w:val="32"/>
          <w:lang w:val="en-US" w:eastAsia="zh-CN"/>
        </w:rPr>
        <w:t>旅文</w:t>
      </w:r>
      <w:r>
        <w:rPr>
          <w:rFonts w:hint="eastAsia" w:ascii="Times New Roman" w:eastAsia="仿宋_GB2312"/>
          <w:color w:val="auto"/>
          <w:sz w:val="32"/>
        </w:rPr>
        <w:t>〔2024〕</w:t>
      </w:r>
      <w:r>
        <w:rPr>
          <w:rFonts w:hint="eastAsia" w:ascii="Times New Roman" w:eastAsia="仿宋_GB2312"/>
          <w:color w:val="auto"/>
          <w:sz w:val="32"/>
          <w:lang w:val="en-US" w:eastAsia="zh-CN"/>
        </w:rPr>
        <w:t>499</w:t>
      </w:r>
      <w:r>
        <w:rPr>
          <w:rFonts w:hint="eastAsia" w:ascii="Times New Roman" w:eastAsia="仿宋_GB2312"/>
          <w:color w:val="auto"/>
          <w:sz w:val="32"/>
        </w:rPr>
        <w:t>号，以下简称《</w:t>
      </w:r>
      <w:r>
        <w:rPr>
          <w:rFonts w:hint="eastAsia" w:ascii="Times New Roman" w:eastAsia="仿宋_GB2312"/>
          <w:color w:val="auto"/>
          <w:sz w:val="32"/>
          <w:lang w:val="en-US" w:eastAsia="zh-CN"/>
        </w:rPr>
        <w:t>三亚</w:t>
      </w:r>
      <w:r>
        <w:rPr>
          <w:rFonts w:hint="eastAsia" w:ascii="Times New Roman" w:eastAsia="仿宋_GB2312"/>
          <w:color w:val="auto"/>
          <w:sz w:val="32"/>
        </w:rPr>
        <w:t>措施》）</w:t>
      </w:r>
      <w:r>
        <w:rPr>
          <w:rFonts w:hint="default" w:ascii="Times New Roman" w:eastAsia="仿宋_GB2312"/>
          <w:color w:val="auto"/>
          <w:sz w:val="32"/>
        </w:rPr>
        <w:t>，</w:t>
      </w:r>
      <w:r>
        <w:rPr>
          <w:rFonts w:hint="default" w:ascii="Times New Roman" w:eastAsia="仿宋_GB2312"/>
          <w:color w:val="auto"/>
          <w:sz w:val="32"/>
          <w:lang w:eastAsia="zh-CN"/>
        </w:rPr>
        <w:t>三亚市旅游和文化广电体育局结合工作实际</w:t>
      </w:r>
      <w:r>
        <w:rPr>
          <w:rFonts w:hint="eastAsia" w:ascii="Times New Roman" w:eastAsia="仿宋_GB2312"/>
          <w:color w:val="auto"/>
          <w:sz w:val="32"/>
          <w:lang w:eastAsia="zh-CN"/>
        </w:rPr>
        <w:t>，</w:t>
      </w:r>
      <w:r>
        <w:rPr>
          <w:rFonts w:hint="default" w:ascii="Times New Roman" w:eastAsia="仿宋_GB2312"/>
          <w:color w:val="auto"/>
          <w:sz w:val="32"/>
          <w:lang w:eastAsia="zh-CN"/>
        </w:rPr>
        <w:t>制定了</w:t>
      </w:r>
      <w:r>
        <w:rPr>
          <w:rFonts w:hint="eastAsia" w:ascii="Times New Roman" w:eastAsia="仿宋_GB2312"/>
          <w:color w:val="auto"/>
          <w:sz w:val="32"/>
          <w:lang w:eastAsia="zh-CN"/>
        </w:rPr>
        <w:t>《三亚市支持知名电竞品牌商事主体落地奖励实施细则》（</w:t>
      </w:r>
      <w:r>
        <w:rPr>
          <w:rFonts w:hint="eastAsia" w:ascii="Times New Roman" w:eastAsia="仿宋_GB2312"/>
          <w:color w:val="auto"/>
          <w:sz w:val="32"/>
          <w:lang w:val="en-US" w:eastAsia="zh-CN"/>
        </w:rPr>
        <w:t>以下简称《电竞品牌奖励细则》</w:t>
      </w:r>
      <w:r>
        <w:rPr>
          <w:rFonts w:hint="eastAsia" w:ascii="Times New Roman" w:eastAsia="仿宋_GB2312"/>
          <w:color w:val="auto"/>
          <w:sz w:val="32"/>
          <w:lang w:eastAsia="zh-CN"/>
        </w:rPr>
        <w:t>）。</w:t>
      </w:r>
      <w:r>
        <w:rPr>
          <w:rFonts w:hint="eastAsia" w:ascii="Times New Roman" w:eastAsia="仿宋_GB2312"/>
          <w:color w:val="auto"/>
          <w:sz w:val="32"/>
        </w:rPr>
        <w:t>为做好</w:t>
      </w:r>
      <w:r>
        <w:rPr>
          <w:rFonts w:hint="eastAsia" w:ascii="Times New Roman" w:eastAsia="仿宋_GB2312"/>
          <w:color w:val="auto"/>
          <w:sz w:val="32"/>
          <w:lang w:eastAsia="zh-CN"/>
        </w:rPr>
        <w:t>相关内容的</w:t>
      </w:r>
      <w:r>
        <w:rPr>
          <w:rFonts w:hint="eastAsia" w:ascii="Times New Roman" w:eastAsia="仿宋_GB2312"/>
          <w:color w:val="auto"/>
          <w:sz w:val="32"/>
        </w:rPr>
        <w:t>解读工作，现将有关情况解读如下：</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78" w:lineRule="exact"/>
        <w:ind w:firstLine="640" w:firstLineChars="200"/>
        <w:jc w:val="both"/>
        <w:textAlignment w:val="auto"/>
        <w:outlineLvl w:val="0"/>
        <w:rPr>
          <w:rFonts w:hint="eastAsia" w:ascii="Times New Roman" w:hAnsi="宋体" w:eastAsia="仿宋_GB2312" w:cs="宋体"/>
          <w:color w:val="auto"/>
          <w:kern w:val="0"/>
          <w:sz w:val="32"/>
          <w:szCs w:val="24"/>
          <w:lang w:val="en-US" w:eastAsia="zh-CN" w:bidi="ar-SA"/>
          <w14:ligatures w14:val="none"/>
        </w:rPr>
      </w:pPr>
      <w:r>
        <w:rPr>
          <w:rFonts w:hint="eastAsia" w:ascii="Times New Roman" w:hAnsi="黑体" w:eastAsia="黑体" w:cs="宋体"/>
          <w:color w:val="auto"/>
          <w:kern w:val="0"/>
          <w:sz w:val="32"/>
          <w:szCs w:val="24"/>
          <w:lang w:val="en-US" w:eastAsia="zh-CN" w:bidi="ar-SA"/>
          <w14:ligatures w14:val="none"/>
        </w:rPr>
        <w:t>一、制定背景</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eastAsia="仿宋_GB2312"/>
          <w:color w:val="auto"/>
          <w:sz w:val="32"/>
          <w:lang w:val="en-US" w:eastAsia="zh-CN"/>
        </w:rPr>
      </w:pPr>
      <w:r>
        <w:rPr>
          <w:rFonts w:hint="eastAsia" w:ascii="Times New Roman" w:eastAsia="仿宋_GB2312"/>
          <w:color w:val="auto"/>
          <w:sz w:val="32"/>
          <w:lang w:val="en-US" w:eastAsia="zh-CN"/>
        </w:rPr>
        <w:t>为贯彻落实《三亚措施》的有关工作要求，激发我市旅游市场新活力，针对近期印发的《三亚措施》中的第五条激励措施，特制定《电竞品牌奖励细则》，明确奖励标准、申报流程和申报材料。该奖励措施与省级政策形成政策互补作用，进一步刺激三亚</w:t>
      </w:r>
      <w:r>
        <w:rPr>
          <w:rFonts w:hint="default" w:ascii="Times New Roman" w:eastAsia="仿宋_GB2312"/>
          <w:color w:val="auto"/>
          <w:sz w:val="32"/>
          <w:lang w:eastAsia="zh-CN"/>
        </w:rPr>
        <w:t>体旅</w:t>
      </w:r>
      <w:r>
        <w:rPr>
          <w:rFonts w:hint="eastAsia" w:ascii="Times New Roman" w:eastAsia="仿宋_GB2312"/>
          <w:color w:val="auto"/>
          <w:sz w:val="32"/>
          <w:lang w:val="en-US" w:eastAsia="zh-CN"/>
        </w:rPr>
        <w:t>消费的增长，为三亚旅游市场引进新活力。</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eastAsia" w:ascii="Times New Roman" w:hAnsi="宋体" w:eastAsia="仿宋_GB2312" w:cs="宋体"/>
          <w:color w:val="auto"/>
          <w:kern w:val="0"/>
          <w:sz w:val="32"/>
          <w:szCs w:val="24"/>
          <w:lang w:val="en-US" w:eastAsia="zh-CN" w:bidi="ar-SA"/>
          <w14:ligatures w14:val="none"/>
        </w:rPr>
      </w:pPr>
      <w:r>
        <w:rPr>
          <w:rFonts w:hint="eastAsia" w:ascii="Times New Roman" w:hAnsi="黑体" w:eastAsia="黑体" w:cs="宋体"/>
          <w:color w:val="auto"/>
          <w:kern w:val="0"/>
          <w:sz w:val="32"/>
          <w:szCs w:val="24"/>
          <w:lang w:val="en-US" w:eastAsia="zh-CN" w:bidi="ar-SA"/>
          <w14:ligatures w14:val="none"/>
        </w:rPr>
        <w:t>二、主要内容</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outlineLvl w:val="0"/>
        <w:rPr>
          <w:rFonts w:hint="eastAsia" w:ascii="Times New Roman" w:hAnsi="宋体" w:eastAsia="仿宋_GB2312" w:cs="宋体"/>
          <w:color w:val="auto"/>
          <w:kern w:val="0"/>
          <w:sz w:val="32"/>
          <w:szCs w:val="24"/>
          <w:lang w:val="en-US" w:eastAsia="zh-CN" w:bidi="ar-SA"/>
          <w14:ligatures w14:val="none"/>
        </w:rPr>
      </w:pPr>
      <w:r>
        <w:rPr>
          <w:rFonts w:hint="eastAsia" w:ascii="Times New Roman" w:hAnsi="宋体" w:eastAsia="仿宋_GB2312" w:cs="宋体"/>
          <w:color w:val="auto"/>
          <w:kern w:val="0"/>
          <w:sz w:val="32"/>
          <w:szCs w:val="24"/>
          <w:lang w:val="en-US" w:eastAsia="zh-CN" w:bidi="ar-SA"/>
          <w14:ligatures w14:val="none"/>
        </w:rPr>
        <w:t>答：《电竞品牌奖励细则》对《</w:t>
      </w:r>
      <w:r>
        <w:rPr>
          <w:rFonts w:hint="eastAsia" w:ascii="Times New Roman" w:eastAsia="仿宋_GB2312" w:cs="宋体"/>
          <w:color w:val="auto"/>
          <w:kern w:val="0"/>
          <w:sz w:val="32"/>
          <w:szCs w:val="24"/>
          <w:lang w:val="en-US" w:eastAsia="zh-CN" w:bidi="ar-SA"/>
          <w14:ligatures w14:val="none"/>
        </w:rPr>
        <w:t>三亚</w:t>
      </w:r>
      <w:r>
        <w:rPr>
          <w:rFonts w:hint="eastAsia" w:ascii="Times New Roman" w:hAnsi="宋体" w:eastAsia="仿宋_GB2312" w:cs="宋体"/>
          <w:color w:val="auto"/>
          <w:kern w:val="0"/>
          <w:sz w:val="32"/>
          <w:szCs w:val="24"/>
          <w:lang w:val="en-US" w:eastAsia="zh-CN" w:bidi="ar-SA"/>
          <w14:ligatures w14:val="none"/>
        </w:rPr>
        <w:t>措施》进一步补充和细化，</w:t>
      </w:r>
      <w:r>
        <w:rPr>
          <w:rFonts w:hint="eastAsia" w:ascii="Times New Roman" w:eastAsia="仿宋_GB2312" w:cs="宋体"/>
          <w:color w:val="auto"/>
          <w:kern w:val="0"/>
          <w:sz w:val="32"/>
          <w:szCs w:val="24"/>
          <w:lang w:val="en-US" w:eastAsia="zh-CN" w:bidi="ar-SA"/>
          <w14:ligatures w14:val="none"/>
        </w:rPr>
        <w:t>完善了奖励条件、资金申报流程和申报材料，</w:t>
      </w:r>
      <w:r>
        <w:rPr>
          <w:rFonts w:hint="eastAsia" w:ascii="Times New Roman" w:hAnsi="宋体" w:eastAsia="仿宋_GB2312" w:cs="宋体"/>
          <w:color w:val="auto"/>
          <w:kern w:val="0"/>
          <w:sz w:val="32"/>
          <w:szCs w:val="24"/>
          <w:lang w:val="en-US" w:eastAsia="zh-CN" w:bidi="ar-SA"/>
          <w14:ligatures w14:val="none"/>
        </w:rPr>
        <w:t>鼓励</w:t>
      </w:r>
      <w:r>
        <w:rPr>
          <w:rFonts w:hint="eastAsia" w:ascii="Times New Roman" w:eastAsia="仿宋_GB2312" w:cs="宋体"/>
          <w:color w:val="auto"/>
          <w:kern w:val="0"/>
          <w:sz w:val="32"/>
          <w:szCs w:val="24"/>
          <w:lang w:val="en-US" w:eastAsia="zh-CN" w:bidi="ar-SA"/>
          <w14:ligatures w14:val="none"/>
        </w:rPr>
        <w:t>和</w:t>
      </w:r>
      <w:r>
        <w:rPr>
          <w:rFonts w:hint="eastAsia" w:ascii="Times New Roman" w:hAnsi="宋体" w:eastAsia="仿宋_GB2312" w:cs="宋体"/>
          <w:color w:val="auto"/>
          <w:kern w:val="0"/>
          <w:sz w:val="32"/>
          <w:szCs w:val="24"/>
          <w:lang w:val="en-US" w:eastAsia="zh-CN" w:bidi="ar-SA"/>
          <w14:ligatures w14:val="none"/>
        </w:rPr>
        <w:t>引导</w:t>
      </w:r>
      <w:r>
        <w:rPr>
          <w:rFonts w:hint="eastAsia" w:ascii="Times New Roman" w:eastAsia="仿宋_GB2312" w:cs="宋体"/>
          <w:color w:val="auto"/>
          <w:kern w:val="0"/>
          <w:sz w:val="32"/>
          <w:szCs w:val="24"/>
          <w:lang w:val="en-US" w:eastAsia="zh-CN" w:bidi="ar-SA"/>
          <w14:ligatures w14:val="none"/>
        </w:rPr>
        <w:t>更多市场主体积极引进国际或国内知名的电竞赛事IP，</w:t>
      </w:r>
      <w:r>
        <w:rPr>
          <w:rFonts w:hint="eastAsia" w:ascii="Times New Roman" w:hAnsi="宋体" w:eastAsia="仿宋_GB2312" w:cs="宋体"/>
          <w:color w:val="auto"/>
          <w:kern w:val="0"/>
          <w:sz w:val="32"/>
          <w:szCs w:val="24"/>
          <w:lang w:val="en-US" w:eastAsia="zh-CN" w:bidi="ar-SA"/>
          <w14:ligatures w14:val="none"/>
        </w:rPr>
        <w:t>对主办单位引进国际或国内知名的电竞赛事IP，按标准给予体育赛事活动奖励的基础上，因赛事举办在三亚新注册知名电竞品牌的公司并开展实质性运营满一年的，额外给予20万元运营奖励。</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outlineLvl w:val="0"/>
        <w:rPr>
          <w:rFonts w:hint="default" w:ascii="Times New Roman" w:hAnsi="黑体" w:eastAsia="黑体"/>
          <w:color w:val="auto"/>
          <w:sz w:val="32"/>
          <w:lang w:val="en-US" w:eastAsia="zh-CN"/>
        </w:rPr>
      </w:pPr>
      <w:r>
        <w:rPr>
          <w:rFonts w:hint="eastAsia" w:ascii="Times New Roman" w:hAnsi="黑体" w:eastAsia="黑体"/>
          <w:color w:val="auto"/>
          <w:sz w:val="32"/>
          <w:lang w:val="en-US" w:eastAsia="zh-CN"/>
        </w:rPr>
        <w:t>三、政策亮点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outlineLvl w:val="0"/>
        <w:rPr>
          <w:rFonts w:hint="default" w:ascii="Times New Roman" w:eastAsia="仿宋_GB2312" w:cs="宋体"/>
          <w:color w:val="auto"/>
          <w:kern w:val="0"/>
          <w:sz w:val="32"/>
          <w:szCs w:val="24"/>
          <w:lang w:val="en-US" w:eastAsia="zh-CN" w:bidi="ar-SA"/>
          <w14:ligatures w14:val="none"/>
        </w:rPr>
      </w:pPr>
      <w:r>
        <w:rPr>
          <w:rFonts w:hint="eastAsia" w:ascii="Times New Roman" w:hAnsi="宋体" w:eastAsia="仿宋_GB2312" w:cs="宋体"/>
          <w:color w:val="auto"/>
          <w:kern w:val="0"/>
          <w:sz w:val="32"/>
          <w:szCs w:val="24"/>
          <w:lang w:val="en-US" w:eastAsia="zh-CN" w:bidi="ar-SA"/>
          <w14:ligatures w14:val="none"/>
        </w:rPr>
        <w:t>答：</w:t>
      </w:r>
      <w:r>
        <w:rPr>
          <w:rFonts w:hint="eastAsia" w:ascii="Times New Roman" w:eastAsia="仿宋_GB2312"/>
          <w:color w:val="auto"/>
          <w:sz w:val="32"/>
          <w:lang w:val="en-US" w:eastAsia="zh-CN"/>
        </w:rPr>
        <w:t>《电竞品牌奖励细则》</w:t>
      </w:r>
      <w:r>
        <w:rPr>
          <w:rFonts w:hint="default" w:ascii="Times New Roman" w:eastAsia="仿宋_GB2312"/>
          <w:color w:val="auto"/>
          <w:sz w:val="32"/>
          <w:lang w:eastAsia="zh-CN"/>
        </w:rPr>
        <w:t>相较省级政策为新增的奖励措施</w:t>
      </w:r>
      <w:r>
        <w:rPr>
          <w:rFonts w:hint="eastAsia" w:ascii="Times New Roman" w:eastAsia="仿宋_GB2312"/>
          <w:color w:val="auto"/>
          <w:sz w:val="32"/>
          <w:lang w:val="en-US" w:eastAsia="zh-CN"/>
        </w:rPr>
        <w:t>，围绕年轻人消费客群，聚焦电竞消费热点、文旅消费新业态，加快促</w:t>
      </w:r>
      <w:r>
        <w:rPr>
          <w:rFonts w:hint="eastAsia" w:ascii="仿宋_GB2312" w:hAnsi="仿宋_GB2312" w:eastAsia="仿宋_GB2312" w:cs="仿宋_GB2312"/>
          <w:color w:val="auto"/>
          <w:sz w:val="32"/>
          <w:lang w:val="en-US" w:eastAsia="zh-CN"/>
        </w:rPr>
        <w:t>进“体育+旅游”“电竞+文娱”等文体旅融合创新发展，以赛事引进促进招商引资，培育打造体育旅游消费新</w:t>
      </w:r>
      <w:r>
        <w:rPr>
          <w:rFonts w:hint="eastAsia" w:ascii="Times New Roman" w:eastAsia="仿宋_GB2312"/>
          <w:color w:val="auto"/>
          <w:sz w:val="32"/>
          <w:lang w:val="en-US" w:eastAsia="zh-CN"/>
        </w:rPr>
        <w:t>场景、新模式，</w:t>
      </w:r>
      <w:r>
        <w:rPr>
          <w:rFonts w:hint="default" w:ascii="Times New Roman" w:eastAsia="仿宋_GB2312"/>
          <w:color w:val="auto"/>
          <w:sz w:val="32"/>
          <w:lang w:eastAsia="zh-CN"/>
        </w:rPr>
        <w:t>将</w:t>
      </w:r>
      <w:r>
        <w:rPr>
          <w:rFonts w:hint="eastAsia" w:ascii="Times New Roman" w:eastAsia="仿宋_GB2312"/>
          <w:color w:val="auto"/>
          <w:sz w:val="32"/>
          <w:lang w:val="en-US" w:eastAsia="zh-CN"/>
        </w:rPr>
        <w:t>进一步拓宽年轻人旅游消费市场空间，扩大三亚在年轻人群体中的影响力</w:t>
      </w:r>
      <w:r>
        <w:rPr>
          <w:rFonts w:hint="default" w:ascii="Times New Roman" w:eastAsia="仿宋_GB2312"/>
          <w:color w:val="auto"/>
          <w:sz w:val="32"/>
          <w:lang w:eastAsia="zh-CN"/>
        </w:rPr>
        <w:t>，</w:t>
      </w:r>
      <w:r>
        <w:rPr>
          <w:rFonts w:hint="eastAsia" w:ascii="Times New Roman" w:eastAsia="仿宋_GB2312"/>
          <w:color w:val="auto"/>
          <w:sz w:val="32"/>
          <w:lang w:val="en-US" w:eastAsia="zh-CN"/>
        </w:rPr>
        <w:t>为三亚</w:t>
      </w:r>
      <w:r>
        <w:rPr>
          <w:rFonts w:hint="default" w:ascii="Times New Roman" w:eastAsia="仿宋_GB2312"/>
          <w:color w:val="auto"/>
          <w:sz w:val="32"/>
          <w:lang w:eastAsia="zh-CN"/>
        </w:rPr>
        <w:t>体旅消费市场</w:t>
      </w:r>
      <w:r>
        <w:rPr>
          <w:rFonts w:hint="eastAsia" w:ascii="Times New Roman" w:eastAsia="仿宋_GB2312"/>
          <w:color w:val="auto"/>
          <w:sz w:val="32"/>
          <w:lang w:val="en-US" w:eastAsia="zh-CN"/>
        </w:rPr>
        <w:t>注入新活力</w:t>
      </w:r>
      <w:r>
        <w:rPr>
          <w:rFonts w:hint="eastAsia" w:ascii="Times New Roman" w:eastAsia="仿宋_GB2312" w:cs="宋体"/>
          <w:color w:val="auto"/>
          <w:kern w:val="0"/>
          <w:sz w:val="32"/>
          <w:szCs w:val="24"/>
          <w:lang w:val="en-US" w:eastAsia="zh-CN" w:bidi="ar-SA"/>
          <w14:ligatures w14:val="none"/>
        </w:rPr>
        <w:t>。</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outlineLvl w:val="0"/>
        <w:rPr>
          <w:rFonts w:hint="eastAsia" w:ascii="Times New Roman" w:eastAsia="仿宋_GB2312"/>
          <w:color w:val="auto"/>
          <w:sz w:val="32"/>
        </w:rPr>
      </w:pPr>
      <w:r>
        <w:rPr>
          <w:rFonts w:hint="eastAsia" w:ascii="Times New Roman" w:hAnsi="黑体" w:eastAsia="黑体"/>
          <w:color w:val="auto"/>
          <w:sz w:val="32"/>
          <w:lang w:eastAsia="zh-CN"/>
        </w:rPr>
        <w:t>四</w:t>
      </w:r>
      <w:r>
        <w:rPr>
          <w:rFonts w:hint="eastAsia" w:ascii="Times New Roman" w:hAnsi="黑体" w:eastAsia="黑体"/>
          <w:color w:val="auto"/>
          <w:sz w:val="32"/>
        </w:rPr>
        <w:t>、</w:t>
      </w:r>
      <w:bookmarkStart w:id="0" w:name="_Hlk171602556"/>
      <w:bookmarkStart w:id="1" w:name="_Hlk171602321"/>
      <w:r>
        <w:rPr>
          <w:rFonts w:hint="eastAsia" w:ascii="Times New Roman" w:hAnsi="黑体" w:eastAsia="黑体"/>
          <w:color w:val="auto"/>
          <w:sz w:val="32"/>
          <w:lang w:eastAsia="zh-CN"/>
        </w:rPr>
        <w:t>奖励</w:t>
      </w:r>
      <w:r>
        <w:rPr>
          <w:rFonts w:hint="eastAsia" w:ascii="Times New Roman" w:hAnsi="黑体" w:eastAsia="黑体"/>
          <w:color w:val="auto"/>
          <w:sz w:val="32"/>
        </w:rPr>
        <w:t>资金</w:t>
      </w:r>
      <w:bookmarkEnd w:id="0"/>
      <w:bookmarkEnd w:id="1"/>
      <w:r>
        <w:rPr>
          <w:rFonts w:hint="eastAsia" w:ascii="Times New Roman" w:hAnsi="黑体" w:eastAsia="黑体"/>
          <w:color w:val="auto"/>
          <w:sz w:val="32"/>
        </w:rPr>
        <w:t>适用范围</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ascii="Times New Roman" w:hAnsi="Times New Roman" w:eastAsia="仿宋_GB2312" w:cs="Times New Roman"/>
          <w:color w:val="auto"/>
          <w:kern w:val="2"/>
          <w:sz w:val="32"/>
          <w:szCs w:val="32"/>
          <w:lang w:bidi="ar"/>
        </w:rPr>
      </w:pPr>
      <w:r>
        <w:rPr>
          <w:rFonts w:hint="eastAsia" w:ascii="Times New Roman" w:eastAsia="仿宋_GB2312"/>
          <w:color w:val="auto"/>
          <w:sz w:val="32"/>
        </w:rPr>
        <w:t>答：</w:t>
      </w:r>
      <w:r>
        <w:rPr>
          <w:rFonts w:hint="eastAsia" w:ascii="Times New Roman" w:eastAsia="仿宋_GB2312"/>
          <w:color w:val="auto"/>
          <w:sz w:val="32"/>
          <w:lang w:val="en-US" w:eastAsia="zh-CN"/>
        </w:rPr>
        <w:t>《电竞品牌奖励细则》奖励</w:t>
      </w:r>
      <w:r>
        <w:rPr>
          <w:rFonts w:hint="eastAsia" w:ascii="Times New Roman" w:eastAsia="仿宋_GB2312"/>
          <w:color w:val="auto"/>
          <w:sz w:val="32"/>
        </w:rPr>
        <w:t>资金属于市级</w:t>
      </w:r>
      <w:r>
        <w:rPr>
          <w:rFonts w:hint="eastAsia" w:ascii="Times New Roman" w:eastAsia="仿宋_GB2312"/>
          <w:color w:val="auto"/>
          <w:sz w:val="32"/>
          <w:lang w:val="en-US" w:eastAsia="zh-CN"/>
        </w:rPr>
        <w:t>奖励</w:t>
      </w:r>
      <w:r>
        <w:rPr>
          <w:rFonts w:hint="eastAsia" w:ascii="Times New Roman" w:eastAsia="仿宋_GB2312"/>
          <w:color w:val="auto"/>
          <w:sz w:val="32"/>
        </w:rPr>
        <w:t>资金，与省级财政</w:t>
      </w:r>
      <w:r>
        <w:rPr>
          <w:rFonts w:hint="eastAsia" w:ascii="Times New Roman" w:eastAsia="仿宋_GB2312"/>
          <w:color w:val="auto"/>
          <w:sz w:val="32"/>
          <w:lang w:val="en-US" w:eastAsia="zh-CN"/>
        </w:rPr>
        <w:t>奖励</w:t>
      </w:r>
      <w:r>
        <w:rPr>
          <w:rFonts w:hint="eastAsia" w:ascii="Times New Roman" w:eastAsia="仿宋_GB2312"/>
          <w:color w:val="auto"/>
          <w:sz w:val="32"/>
        </w:rPr>
        <w:t>同时适用。</w:t>
      </w:r>
      <w:r>
        <w:rPr>
          <w:rFonts w:ascii="Times New Roman" w:hAnsi="Times New Roman" w:eastAsia="仿宋_GB2312" w:cs="Times New Roman"/>
          <w:color w:val="auto"/>
          <w:kern w:val="2"/>
          <w:sz w:val="32"/>
          <w:szCs w:val="32"/>
          <w:lang w:bidi="ar"/>
        </w:rPr>
        <w:t>原则上已获得其他市级财政资金支持的项目，不再重复支持。对于由财政资金支持开展的活动，不计入</w:t>
      </w:r>
      <w:r>
        <w:rPr>
          <w:rFonts w:hint="eastAsia" w:ascii="Times New Roman" w:hAnsi="Times New Roman" w:eastAsia="仿宋_GB2312" w:cs="Times New Roman"/>
          <w:color w:val="auto"/>
          <w:kern w:val="2"/>
          <w:sz w:val="32"/>
          <w:szCs w:val="32"/>
          <w:lang w:val="en-US" w:eastAsia="zh-CN" w:bidi="ar"/>
        </w:rPr>
        <w:t>奖励</w:t>
      </w:r>
      <w:r>
        <w:rPr>
          <w:rFonts w:ascii="Times New Roman" w:hAnsi="Times New Roman" w:eastAsia="仿宋_GB2312" w:cs="Times New Roman"/>
          <w:color w:val="auto"/>
          <w:kern w:val="2"/>
          <w:sz w:val="32"/>
          <w:szCs w:val="32"/>
          <w:lang w:bidi="ar"/>
        </w:rPr>
        <w:t>范围。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eastAsia="仿宋_GB2312"/>
          <w:color w:val="auto"/>
          <w:sz w:val="32"/>
          <w:lang w:val="en-US"/>
        </w:rPr>
      </w:pPr>
      <w:r>
        <w:rPr>
          <w:rFonts w:hint="eastAsia" w:ascii="Times New Roman" w:hAnsi="黑体" w:eastAsia="黑体"/>
          <w:color w:val="auto"/>
          <w:sz w:val="32"/>
          <w:lang w:eastAsia="zh-CN"/>
        </w:rPr>
        <w:t>五</w:t>
      </w:r>
      <w:r>
        <w:rPr>
          <w:rFonts w:hint="eastAsia" w:ascii="Times New Roman" w:hAnsi="黑体" w:eastAsia="黑体"/>
          <w:color w:val="auto"/>
          <w:sz w:val="32"/>
        </w:rPr>
        <w:t>、</w:t>
      </w:r>
      <w:bookmarkStart w:id="2" w:name="_Hlk171603186"/>
      <w:bookmarkStart w:id="3" w:name="_Hlk171604238"/>
      <w:r>
        <w:rPr>
          <w:rFonts w:hint="eastAsia" w:ascii="Times New Roman" w:hAnsi="黑体" w:eastAsia="黑体"/>
          <w:color w:val="auto"/>
          <w:sz w:val="32"/>
          <w:lang w:eastAsia="zh-CN"/>
        </w:rPr>
        <w:t>奖励</w:t>
      </w:r>
      <w:r>
        <w:rPr>
          <w:rFonts w:hint="eastAsia" w:ascii="Times New Roman" w:hAnsi="黑体" w:eastAsia="黑体"/>
          <w:color w:val="auto"/>
          <w:sz w:val="32"/>
          <w:lang w:val="en-US" w:eastAsia="zh-CN"/>
        </w:rPr>
        <w:t>资金</w:t>
      </w:r>
      <w:bookmarkEnd w:id="2"/>
      <w:bookmarkEnd w:id="3"/>
      <w:r>
        <w:rPr>
          <w:rFonts w:hint="eastAsia" w:ascii="Times New Roman" w:hAnsi="黑体" w:eastAsia="黑体"/>
          <w:color w:val="auto"/>
          <w:sz w:val="32"/>
          <w:lang w:val="en-US" w:eastAsia="zh-CN"/>
        </w:rPr>
        <w:t>审核及拨付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eastAsia="仿宋_GB2312" w:hAnsiTheme="minorHAnsi" w:cstheme="minorBidi"/>
          <w:color w:val="auto"/>
          <w:kern w:val="0"/>
          <w:sz w:val="32"/>
          <w:szCs w:val="22"/>
          <w:lang w:val="en-US" w:eastAsia="en-US" w:bidi="ar-SA"/>
          <w14:ligatures w14:val="none"/>
        </w:rPr>
      </w:pPr>
      <w:r>
        <w:rPr>
          <w:rFonts w:hint="default" w:ascii="Times New Roman" w:eastAsia="仿宋_GB2312" w:hAnsiTheme="minorHAnsi" w:cstheme="minorBidi"/>
          <w:color w:val="auto"/>
          <w:kern w:val="0"/>
          <w:sz w:val="32"/>
          <w:szCs w:val="22"/>
          <w:lang w:val="en-US" w:eastAsia="en-US" w:bidi="ar-SA"/>
          <w14:ligatures w14:val="none"/>
        </w:rPr>
        <w:t>答：</w:t>
      </w:r>
      <w:r>
        <w:rPr>
          <w:rFonts w:hint="eastAsia" w:ascii="Times New Roman" w:eastAsia="仿宋_GB2312" w:hAnsiTheme="minorHAnsi" w:cstheme="minorBidi"/>
          <w:color w:val="auto"/>
          <w:kern w:val="0"/>
          <w:sz w:val="32"/>
          <w:szCs w:val="22"/>
          <w:lang w:val="en-US" w:eastAsia="zh-CN" w:bidi="ar-SA"/>
          <w14:ligatures w14:val="none"/>
        </w:rPr>
        <w:t>（一）</w:t>
      </w:r>
      <w:r>
        <w:rPr>
          <w:rFonts w:hint="default" w:ascii="Times New Roman" w:eastAsia="仿宋_GB2312" w:hAnsiTheme="minorHAnsi" w:cstheme="minorBidi"/>
          <w:color w:val="auto"/>
          <w:kern w:val="0"/>
          <w:sz w:val="32"/>
          <w:szCs w:val="22"/>
          <w:lang w:val="en-US" w:eastAsia="en-US" w:bidi="ar-SA"/>
          <w14:ligatures w14:val="none"/>
        </w:rPr>
        <w:t>资金审核。三亚市旅游和文化广电体育局受理申报材料后，组织开展核查评审（可聘请第三方机构），并结合实际征求相关部门意见，确定奖励企业的名单。其中：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eastAsia="仿宋_GB2312" w:hAnsiTheme="minorHAnsi" w:cstheme="minorBidi"/>
          <w:color w:val="auto"/>
          <w:kern w:val="0"/>
          <w:sz w:val="32"/>
          <w:szCs w:val="22"/>
          <w:lang w:val="en-US" w:eastAsia="en-US" w:bidi="ar-SA"/>
          <w14:ligatures w14:val="none"/>
        </w:rPr>
      </w:pPr>
      <w:r>
        <w:rPr>
          <w:rFonts w:hint="default" w:ascii="Times New Roman" w:eastAsia="仿宋_GB2312" w:hAnsiTheme="minorHAnsi" w:cstheme="minorBidi"/>
          <w:color w:val="auto"/>
          <w:kern w:val="0"/>
          <w:sz w:val="32"/>
          <w:szCs w:val="22"/>
          <w:lang w:val="en-US" w:eastAsia="en-US" w:bidi="ar-SA"/>
          <w14:ligatures w14:val="none"/>
        </w:rPr>
        <w:t>向税务部门核实企业是否有欠税等违规行为，向市场监管部门核实企业是否有违规经营或失信行为。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eastAsia="仿宋_GB2312" w:hAnsiTheme="minorHAnsi" w:cstheme="minorBidi"/>
          <w:color w:val="auto"/>
          <w:kern w:val="0"/>
          <w:sz w:val="32"/>
          <w:szCs w:val="22"/>
          <w:lang w:val="en-US" w:eastAsia="en-US" w:bidi="ar-SA"/>
          <w14:ligatures w14:val="none"/>
        </w:rPr>
      </w:pPr>
      <w:r>
        <w:rPr>
          <w:rFonts w:hint="default" w:ascii="Times New Roman" w:eastAsia="仿宋_GB2312" w:hAnsiTheme="minorHAnsi" w:cstheme="minorBidi"/>
          <w:color w:val="auto"/>
          <w:kern w:val="0"/>
          <w:sz w:val="32"/>
          <w:szCs w:val="22"/>
          <w:lang w:val="en-US" w:eastAsia="en-US" w:bidi="ar-SA"/>
          <w14:ligatures w14:val="none"/>
        </w:rPr>
        <w:t>向应急管理、市场监管、消防、住建等有关部门征求企业安全生产意见，申报企业近三年发生过重大安全事故或存在有关部门督办但未完成整改安全生产问题的，不予支持。</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outlineLvl w:val="0"/>
        <w:rPr>
          <w:rFonts w:hint="default" w:ascii="Times New Roman" w:eastAsia="仿宋_GB2312" w:hAnsiTheme="minorHAnsi" w:cstheme="minorBidi"/>
          <w:color w:val="auto"/>
          <w:kern w:val="0"/>
          <w:sz w:val="32"/>
          <w:szCs w:val="22"/>
          <w:lang w:val="en-US" w:eastAsia="en-US" w:bidi="ar-SA"/>
          <w14:ligatures w14:val="none"/>
        </w:rPr>
      </w:pPr>
      <w:r>
        <w:rPr>
          <w:rFonts w:hint="default" w:ascii="Times New Roman" w:eastAsia="仿宋_GB2312" w:hAnsiTheme="minorHAnsi" w:cstheme="minorBidi"/>
          <w:color w:val="auto"/>
          <w:kern w:val="0"/>
          <w:sz w:val="32"/>
          <w:szCs w:val="22"/>
          <w:lang w:val="en-US" w:eastAsia="en-US" w:bidi="ar-SA"/>
          <w14:ligatures w14:val="none"/>
        </w:rPr>
        <w:t>资金公示。由三亚市旅游和文化广电体育局在三亚市旅文局官网及“海易兑”平台等相关渠道上对拟奖励企业及标准进行公示，时间不少于五个工作日。</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outlineLvl w:val="0"/>
        <w:rPr>
          <w:rFonts w:hint="default" w:ascii="Times New Roman" w:eastAsia="仿宋_GB2312" w:hAnsiTheme="minorHAnsi" w:cstheme="minorBidi"/>
          <w:color w:val="auto"/>
          <w:kern w:val="0"/>
          <w:sz w:val="32"/>
          <w:szCs w:val="22"/>
          <w:lang w:val="en-US" w:eastAsia="en-US" w:bidi="ar-SA"/>
          <w14:ligatures w14:val="none"/>
        </w:rPr>
      </w:pPr>
      <w:r>
        <w:rPr>
          <w:rFonts w:hint="default" w:ascii="Times New Roman" w:eastAsia="仿宋_GB2312" w:hAnsiTheme="minorHAnsi" w:cstheme="minorBidi"/>
          <w:color w:val="auto"/>
          <w:kern w:val="0"/>
          <w:sz w:val="32"/>
          <w:szCs w:val="22"/>
          <w:lang w:val="en-US" w:eastAsia="en-US" w:bidi="ar-SA"/>
          <w14:ligatures w14:val="none"/>
        </w:rPr>
        <w:t>资金拨付。根据公示情况，三亚市旅游和文化广电体育局向三亚市财政局提出奖励资金申请，三亚市财政局下达奖励资金后，由三亚市旅游和文化广电体育局按规定程序兑付奖励资金。</w:t>
      </w:r>
    </w:p>
    <w:p>
      <w:pPr>
        <w:pStyle w:val="5"/>
        <w:keepNext w:val="0"/>
        <w:keepLines w:val="0"/>
        <w:pageBreakBefore w:val="0"/>
        <w:widowControl w:val="0"/>
        <w:numPr>
          <w:numId w:val="0"/>
        </w:numPr>
        <w:shd w:val="clear" w:color="auto" w:fill="FFFFFF"/>
        <w:kinsoku/>
        <w:wordWrap/>
        <w:overflowPunct/>
        <w:topLinePunct w:val="0"/>
        <w:autoSpaceDE/>
        <w:autoSpaceDN/>
        <w:bidi w:val="0"/>
        <w:adjustRightInd/>
        <w:snapToGrid/>
        <w:spacing w:before="0" w:beforeAutospacing="0" w:after="0" w:afterAutospacing="0" w:line="578" w:lineRule="exact"/>
        <w:ind w:leftChars="200" w:firstLine="320" w:firstLineChars="100"/>
        <w:jc w:val="both"/>
        <w:textAlignment w:val="auto"/>
        <w:outlineLvl w:val="0"/>
        <w:rPr>
          <w:rFonts w:hint="eastAsia" w:ascii="Times New Roman" w:eastAsia="仿宋_GB2312"/>
          <w:color w:val="auto"/>
          <w:sz w:val="32"/>
        </w:rPr>
      </w:pPr>
      <w:r>
        <w:rPr>
          <w:rFonts w:hint="eastAsia" w:ascii="Times New Roman" w:hAnsi="黑体" w:eastAsia="黑体"/>
          <w:color w:val="auto"/>
          <w:sz w:val="32"/>
          <w:lang w:eastAsia="zh-CN"/>
        </w:rPr>
        <w:t>六</w:t>
      </w:r>
      <w:r>
        <w:rPr>
          <w:rFonts w:hint="eastAsia" w:ascii="Times New Roman" w:hAnsi="黑体" w:eastAsia="黑体"/>
          <w:color w:val="auto"/>
          <w:sz w:val="32"/>
        </w:rPr>
        <w:t>、</w:t>
      </w:r>
      <w:r>
        <w:rPr>
          <w:rFonts w:hint="eastAsia" w:ascii="Times New Roman" w:hAnsi="黑体" w:eastAsia="黑体"/>
          <w:color w:val="auto"/>
          <w:sz w:val="32"/>
          <w:lang w:val="en-US" w:eastAsia="zh-CN"/>
        </w:rPr>
        <w:t>政策</w:t>
      </w:r>
      <w:r>
        <w:rPr>
          <w:rFonts w:hint="eastAsia" w:ascii="Times New Roman" w:hAnsi="黑体" w:eastAsia="黑体"/>
          <w:color w:val="auto"/>
          <w:sz w:val="32"/>
        </w:rPr>
        <w:t>有效期</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eastAsia="仿宋_GB2312" w:hAnsiTheme="minorHAnsi" w:cstheme="minorBidi"/>
          <w:color w:val="auto"/>
          <w:kern w:val="0"/>
          <w:sz w:val="32"/>
          <w:szCs w:val="22"/>
          <w:lang w:val="en-US" w:eastAsia="zh-CN" w:bidi="ar-SA"/>
          <w14:ligatures w14:val="none"/>
        </w:rPr>
      </w:pPr>
      <w:r>
        <w:rPr>
          <w:rFonts w:hint="eastAsia" w:ascii="Times New Roman" w:eastAsia="仿宋_GB2312"/>
          <w:color w:val="auto"/>
          <w:sz w:val="32"/>
        </w:rPr>
        <w:t>答：</w:t>
      </w:r>
      <w:r>
        <w:rPr>
          <w:rFonts w:hint="eastAsia" w:ascii="Times New Roman" w:eastAsia="仿宋_GB2312" w:hAnsiTheme="minorHAnsi" w:cstheme="minorBidi"/>
          <w:color w:val="auto"/>
          <w:kern w:val="0"/>
          <w:sz w:val="32"/>
          <w:szCs w:val="22"/>
          <w:lang w:val="en-US" w:eastAsia="zh-CN" w:bidi="ar-SA"/>
          <w14:ligatures w14:val="none"/>
        </w:rPr>
        <w:t>三亚市旅游和文化广电体育局负责《电竞品牌奖励细则》的具体实施和解释内容，有效期截至2025年12月31日。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eastAsia="仿宋_GB2312" w:hAnsiTheme="minorHAnsi" w:cstheme="minorBidi"/>
          <w:color w:val="auto"/>
          <w:kern w:val="0"/>
          <w:sz w:val="32"/>
          <w:szCs w:val="22"/>
          <w:lang w:val="en-US" w:eastAsia="zh-CN" w:bidi="ar-SA"/>
          <w14:ligatures w14:val="none"/>
        </w:rPr>
      </w:pP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ascii="Times New Roman" w:hAnsi="Times New Roman" w:eastAsia="仿宋_GB2312" w:cs="Times New Roman"/>
          <w:color w:val="auto"/>
          <w:kern w:val="2"/>
          <w:sz w:val="32"/>
          <w:szCs w:val="32"/>
          <w:lang w:bidi="ar"/>
        </w:rPr>
      </w:pPr>
    </w:p>
    <w:p>
      <w:pPr>
        <w:keepNext w:val="0"/>
        <w:keepLines w:val="0"/>
        <w:pageBreakBefore w:val="0"/>
        <w:numPr>
          <w:ilvl w:val="0"/>
          <w:numId w:val="0"/>
        </w:numPr>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pPr>
      <w:bookmarkStart w:id="4" w:name="_GoBack"/>
      <w:bookmarkEnd w:id="4"/>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EB1C2"/>
    <w:multiLevelType w:val="singleLevel"/>
    <w:tmpl w:val="8C8EB1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93C40"/>
    <w:rsid w:val="10F90369"/>
    <w:rsid w:val="114F7617"/>
    <w:rsid w:val="1C1B1CE7"/>
    <w:rsid w:val="2CB11376"/>
    <w:rsid w:val="36550085"/>
    <w:rsid w:val="3B5A565D"/>
    <w:rsid w:val="3B7A7767"/>
    <w:rsid w:val="47450083"/>
    <w:rsid w:val="4F167FFB"/>
    <w:rsid w:val="4F982D65"/>
    <w:rsid w:val="516B7D03"/>
    <w:rsid w:val="51F37AEC"/>
    <w:rsid w:val="54830327"/>
    <w:rsid w:val="59995225"/>
    <w:rsid w:val="5BFB4BC5"/>
    <w:rsid w:val="5E15524B"/>
    <w:rsid w:val="6FEF382C"/>
    <w:rsid w:val="7084397A"/>
    <w:rsid w:val="718D28D2"/>
    <w:rsid w:val="71B462E7"/>
    <w:rsid w:val="73D73155"/>
    <w:rsid w:val="7CF1E4A7"/>
    <w:rsid w:val="ABB7BB39"/>
    <w:rsid w:val="FEFFA4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2024-07-25T15:21:00Z</dcterms:created>
  <dc:creator>HP</dc:creator>
  <cp:lastModifiedBy>这鬼天气热死个人</cp:lastModifiedBy>
  <dcterms:modified xsi:type="dcterms:W3CDTF">2024-07-26T03:19:12Z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