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78" w:lineRule="exact"/>
        <w:ind w:right="0"/>
        <w:jc w:val="center"/>
        <w:textAlignment w:val="auto"/>
        <w:outlineLvl w:val="9"/>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三亚市旅游文化体育</w:t>
      </w:r>
      <w:r>
        <w:rPr>
          <w:rFonts w:hint="eastAsia" w:eastAsia="方正小标宋简体" w:cs="Times New Roman"/>
          <w:color w:val="auto"/>
          <w:sz w:val="44"/>
          <w:szCs w:val="44"/>
          <w:highlight w:val="none"/>
          <w:lang w:val="en-US" w:eastAsia="zh-CN"/>
        </w:rPr>
        <w:t>大型活动资金</w:t>
      </w:r>
      <w:r>
        <w:rPr>
          <w:rFonts w:hint="default" w:ascii="Times New Roman" w:hAnsi="Times New Roman" w:eastAsia="方正小标宋简体" w:cs="Times New Roman"/>
          <w:color w:val="auto"/>
          <w:sz w:val="44"/>
          <w:szCs w:val="44"/>
          <w:highlight w:val="none"/>
          <w:lang w:val="en-US" w:eastAsia="zh-CN"/>
        </w:rPr>
        <w:t>管理</w:t>
      </w:r>
    </w:p>
    <w:p>
      <w:pPr>
        <w:widowControl w:val="0"/>
        <w:wordWrap/>
        <w:adjustRightInd/>
        <w:snapToGrid/>
        <w:spacing w:line="578" w:lineRule="exact"/>
        <w:ind w:right="0"/>
        <w:jc w:val="center"/>
        <w:textAlignment w:val="auto"/>
        <w:outlineLvl w:val="9"/>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办法（征求意见稿）</w:t>
      </w:r>
    </w:p>
    <w:p>
      <w:pPr>
        <w:pStyle w:val="8"/>
        <w:widowControl w:val="0"/>
        <w:pBdr>
          <w:top w:val="none" w:color="auto" w:sz="0" w:space="0"/>
          <w:left w:val="none" w:color="auto" w:sz="0" w:space="0"/>
          <w:bottom w:val="none" w:color="auto" w:sz="0" w:space="0"/>
          <w:right w:val="none" w:color="auto" w:sz="0" w:space="0"/>
        </w:pBdr>
        <w:wordWrap/>
        <w:adjustRightInd/>
        <w:snapToGrid/>
        <w:spacing w:beforeAutospacing="0" w:afterAutospacing="0" w:line="578" w:lineRule="exact"/>
        <w:ind w:left="0" w:leftChars="0" w:right="0" w:firstLine="113" w:firstLineChars="0"/>
        <w:jc w:val="center"/>
        <w:textAlignment w:val="auto"/>
        <w:outlineLvl w:val="9"/>
        <w:rPr>
          <w:rFonts w:hint="default" w:ascii="Times New Roman" w:hAnsi="Times New Roman" w:eastAsia="仿宋" w:cs="Times New Roman"/>
          <w:color w:val="auto"/>
          <w:kern w:val="2"/>
          <w:sz w:val="32"/>
          <w:szCs w:val="32"/>
          <w:highlight w:val="none"/>
          <w:lang w:val="en-US" w:eastAsia="zh-CN" w:bidi="ar-SA"/>
        </w:rPr>
      </w:pPr>
    </w:p>
    <w:p>
      <w:pPr>
        <w:widowControl w:val="0"/>
        <w:numPr>
          <w:numId w:val="0"/>
        </w:numPr>
        <w:wordWrap/>
        <w:adjustRightInd/>
        <w:snapToGrid/>
        <w:spacing w:line="578" w:lineRule="exact"/>
        <w:ind w:left="0" w:leftChars="0" w:right="0" w:firstLine="642"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第一条 </w:t>
      </w:r>
      <w:r>
        <w:rPr>
          <w:rFonts w:hint="default" w:ascii="Times New Roman" w:hAnsi="Times New Roman" w:eastAsia="仿宋_GB2312" w:cs="Times New Roman"/>
          <w:color w:val="auto"/>
          <w:sz w:val="32"/>
          <w:szCs w:val="32"/>
          <w:highlight w:val="none"/>
          <w:lang w:val="en-US" w:eastAsia="zh-CN"/>
        </w:rPr>
        <w:t>为了充分发挥旅游文化体育</w:t>
      </w:r>
      <w:r>
        <w:rPr>
          <w:rFonts w:hint="eastAsia" w:eastAsia="仿宋_GB2312" w:cs="Times New Roman"/>
          <w:color w:val="auto"/>
          <w:sz w:val="32"/>
          <w:szCs w:val="32"/>
          <w:highlight w:val="none"/>
          <w:lang w:val="en-US" w:eastAsia="zh-CN"/>
        </w:rPr>
        <w:t>大型</w:t>
      </w:r>
      <w:r>
        <w:rPr>
          <w:rFonts w:hint="default" w:ascii="Times New Roman" w:hAnsi="Times New Roman" w:eastAsia="仿宋_GB2312" w:cs="Times New Roman"/>
          <w:color w:val="auto"/>
          <w:sz w:val="32"/>
          <w:szCs w:val="32"/>
          <w:highlight w:val="none"/>
          <w:lang w:val="en-US" w:eastAsia="zh-CN"/>
        </w:rPr>
        <w:t>活动（以下简称“</w:t>
      </w:r>
      <w:r>
        <w:rPr>
          <w:rFonts w:hint="eastAsia" w:eastAsia="仿宋_GB2312" w:cs="Times New Roman"/>
          <w:color w:val="auto"/>
          <w:sz w:val="32"/>
          <w:szCs w:val="32"/>
          <w:highlight w:val="none"/>
          <w:lang w:val="en-US" w:eastAsia="zh-CN"/>
        </w:rPr>
        <w:t>大型</w:t>
      </w:r>
      <w:r>
        <w:rPr>
          <w:rFonts w:hint="default" w:ascii="Times New Roman" w:hAnsi="Times New Roman" w:eastAsia="仿宋_GB2312" w:cs="Times New Roman"/>
          <w:color w:val="auto"/>
          <w:sz w:val="32"/>
          <w:szCs w:val="32"/>
          <w:highlight w:val="none"/>
          <w:lang w:val="en-US" w:eastAsia="zh-CN"/>
        </w:rPr>
        <w:t>活动”）对我市经济社会发展的促进作用，扶持和培育可形成产业规模和具有发展潜力的</w:t>
      </w:r>
      <w:r>
        <w:rPr>
          <w:rFonts w:hint="eastAsia" w:eastAsia="仿宋_GB2312" w:cs="Times New Roman"/>
          <w:color w:val="auto"/>
          <w:sz w:val="32"/>
          <w:szCs w:val="32"/>
          <w:highlight w:val="none"/>
          <w:lang w:val="en-US" w:eastAsia="zh-CN"/>
        </w:rPr>
        <w:t>大型</w:t>
      </w:r>
      <w:r>
        <w:rPr>
          <w:rFonts w:hint="default" w:ascii="Times New Roman" w:hAnsi="Times New Roman" w:eastAsia="仿宋_GB2312" w:cs="Times New Roman"/>
          <w:color w:val="auto"/>
          <w:sz w:val="32"/>
          <w:szCs w:val="32"/>
          <w:highlight w:val="none"/>
          <w:lang w:val="en-US" w:eastAsia="zh-CN"/>
        </w:rPr>
        <w:t>活动</w:t>
      </w:r>
      <w:r>
        <w:rPr>
          <w:rFonts w:hint="eastAsia" w:eastAsia="仿宋_GB2312" w:cs="Times New Roman"/>
          <w:color w:val="auto"/>
          <w:sz w:val="32"/>
          <w:szCs w:val="32"/>
          <w:highlight w:val="none"/>
          <w:lang w:val="en-US" w:eastAsia="zh-CN"/>
        </w:rPr>
        <w:t>品牌</w:t>
      </w:r>
      <w:r>
        <w:rPr>
          <w:rFonts w:hint="default" w:ascii="Times New Roman" w:hAnsi="Times New Roman" w:eastAsia="仿宋_GB2312" w:cs="Times New Roman"/>
          <w:color w:val="auto"/>
          <w:sz w:val="32"/>
          <w:szCs w:val="32"/>
          <w:highlight w:val="none"/>
          <w:lang w:val="en-US" w:eastAsia="zh-CN"/>
        </w:rPr>
        <w:t>，拉动三亚文旅消费，提高</w:t>
      </w:r>
      <w:r>
        <w:rPr>
          <w:rFonts w:hint="eastAsia" w:eastAsia="仿宋_GB2312" w:cs="Times New Roman"/>
          <w:color w:val="auto"/>
          <w:sz w:val="32"/>
          <w:szCs w:val="32"/>
          <w:highlight w:val="none"/>
          <w:lang w:val="en-US" w:eastAsia="zh-CN"/>
        </w:rPr>
        <w:t>大型活动资金</w:t>
      </w:r>
      <w:r>
        <w:rPr>
          <w:rFonts w:hint="default" w:ascii="Times New Roman" w:hAnsi="Times New Roman" w:eastAsia="仿宋_GB2312" w:cs="Times New Roman"/>
          <w:color w:val="auto"/>
          <w:sz w:val="32"/>
          <w:szCs w:val="32"/>
          <w:highlight w:val="none"/>
          <w:lang w:val="en-US" w:eastAsia="zh-CN"/>
        </w:rPr>
        <w:t>使用效益，结合三亚实际，制定本办法。</w:t>
      </w:r>
    </w:p>
    <w:p>
      <w:pPr>
        <w:widowControl w:val="0"/>
        <w:numPr>
          <w:numId w:val="0"/>
        </w:numPr>
        <w:wordWrap/>
        <w:adjustRightInd/>
        <w:snapToGrid/>
        <w:spacing w:line="578" w:lineRule="exact"/>
        <w:ind w:left="0" w:leftChars="0" w:right="0" w:firstLine="640"/>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第二条 </w:t>
      </w:r>
      <w:r>
        <w:rPr>
          <w:rFonts w:hint="default" w:ascii="Times New Roman" w:hAnsi="Times New Roman" w:eastAsia="仿宋_GB2312" w:cs="Times New Roman"/>
          <w:color w:val="auto"/>
          <w:sz w:val="32"/>
          <w:szCs w:val="32"/>
          <w:highlight w:val="none"/>
          <w:lang w:val="en-US" w:eastAsia="zh-CN"/>
        </w:rPr>
        <w:t>本办法所称</w:t>
      </w:r>
      <w:r>
        <w:rPr>
          <w:rFonts w:hint="eastAsia" w:eastAsia="仿宋_GB2312" w:cs="Times New Roman"/>
          <w:color w:val="auto"/>
          <w:sz w:val="32"/>
          <w:szCs w:val="32"/>
          <w:highlight w:val="none"/>
          <w:lang w:val="en-US" w:eastAsia="zh-CN"/>
        </w:rPr>
        <w:t>大型活动资金</w:t>
      </w:r>
      <w:r>
        <w:rPr>
          <w:rFonts w:hint="default" w:ascii="Times New Roman" w:hAnsi="Times New Roman" w:eastAsia="仿宋_GB2312" w:cs="Times New Roman"/>
          <w:color w:val="auto"/>
          <w:sz w:val="32"/>
          <w:szCs w:val="32"/>
          <w:highlight w:val="none"/>
          <w:lang w:val="en-US" w:eastAsia="zh-CN"/>
        </w:rPr>
        <w:t>，是指</w:t>
      </w:r>
      <w:r>
        <w:rPr>
          <w:rFonts w:hint="eastAsia"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本级财政年度预算安排</w:t>
      </w:r>
      <w:r>
        <w:rPr>
          <w:rFonts w:hint="eastAsia" w:eastAsia="仿宋_GB2312" w:cs="Times New Roman"/>
          <w:color w:val="auto"/>
          <w:sz w:val="32"/>
          <w:szCs w:val="32"/>
          <w:highlight w:val="none"/>
          <w:lang w:val="en-US" w:eastAsia="zh-CN"/>
        </w:rPr>
        <w:t>，重点支持通过市场化方式运作的旅游、文化、体育大型活动的专项资金</w:t>
      </w:r>
      <w:r>
        <w:rPr>
          <w:rFonts w:hint="default" w:eastAsia="仿宋_GB2312" w:cs="Times New Roman"/>
          <w:color w:val="auto"/>
          <w:sz w:val="32"/>
          <w:szCs w:val="32"/>
          <w:highlight w:val="none"/>
          <w:lang w:eastAsia="zh-CN"/>
        </w:rPr>
        <w:t>。对</w:t>
      </w:r>
      <w:r>
        <w:rPr>
          <w:rFonts w:hint="eastAsia" w:eastAsia="仿宋_GB2312" w:cs="Times New Roman"/>
          <w:color w:val="auto"/>
          <w:sz w:val="32"/>
          <w:szCs w:val="32"/>
          <w:highlight w:val="none"/>
          <w:lang w:val="en-US" w:eastAsia="zh-CN"/>
        </w:rPr>
        <w:t>经市政府批准同意由行业主管部门主办或承办的大型活动，按照年度预算编制的要求，纳入部门预算安排</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 xml:space="preserve"> </w:t>
      </w:r>
    </w:p>
    <w:p>
      <w:pPr>
        <w:widowControl w:val="0"/>
        <w:numPr>
          <w:numId w:val="0"/>
        </w:numPr>
        <w:wordWrap/>
        <w:adjustRightInd/>
        <w:snapToGrid/>
        <w:spacing w:line="578" w:lineRule="exact"/>
        <w:ind w:left="0" w:leftChars="0" w:right="0" w:firstLine="640"/>
        <w:textAlignment w:val="auto"/>
        <w:outlineLvl w:val="9"/>
        <w:rPr>
          <w:rFonts w:hint="eastAsia"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w:t>
      </w:r>
      <w:r>
        <w:rPr>
          <w:rFonts w:hint="eastAsia"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val="en-US" w:eastAsia="zh-CN"/>
        </w:rPr>
        <w:t xml:space="preserve">条 </w:t>
      </w:r>
      <w:r>
        <w:rPr>
          <w:rFonts w:hint="eastAsia" w:eastAsia="仿宋_GB2312" w:cs="Times New Roman"/>
          <w:b w:val="0"/>
          <w:bCs w:val="0"/>
          <w:color w:val="auto"/>
          <w:sz w:val="32"/>
          <w:szCs w:val="32"/>
          <w:highlight w:val="none"/>
          <w:lang w:val="en-US" w:eastAsia="zh-CN"/>
        </w:rPr>
        <w:t>大型活动资金重点支持范围：</w:t>
      </w:r>
    </w:p>
    <w:p>
      <w:pPr>
        <w:widowControl w:val="0"/>
        <w:numPr>
          <w:numId w:val="0"/>
        </w:numPr>
        <w:wordWrap/>
        <w:adjustRightInd/>
        <w:snapToGrid/>
        <w:spacing w:line="578" w:lineRule="exact"/>
        <w:ind w:left="0" w:leftChars="0" w:right="0" w:firstLine="640" w:firstLineChars="200"/>
        <w:textAlignment w:val="auto"/>
        <w:outlineLvl w:val="9"/>
        <w:rPr>
          <w:rFonts w:hint="default" w:eastAsia="仿宋_GB2312" w:cs="Times New Roman"/>
          <w:color w:val="auto"/>
          <w:kern w:val="0"/>
          <w:sz w:val="32"/>
          <w:szCs w:val="32"/>
          <w:highlight w:val="none"/>
          <w:lang w:val="en-US" w:eastAsia="zh-CN"/>
        </w:rPr>
      </w:pPr>
      <w:r>
        <w:rPr>
          <w:rFonts w:hint="eastAsia"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lang w:eastAsia="zh-CN"/>
        </w:rPr>
        <w:t>举办后经绩效评价确定能够为</w:t>
      </w:r>
      <w:r>
        <w:rPr>
          <w:rFonts w:hint="default" w:ascii="Times New Roman" w:hAnsi="Times New Roman" w:eastAsia="仿宋_GB2312" w:cs="Times New Roman"/>
          <w:color w:val="auto"/>
          <w:sz w:val="32"/>
          <w:szCs w:val="32"/>
          <w:highlight w:val="none"/>
          <w:lang w:val="en-US" w:eastAsia="zh-CN"/>
        </w:rPr>
        <w:t>三亚</w:t>
      </w:r>
      <w:r>
        <w:rPr>
          <w:rFonts w:hint="default" w:ascii="Times New Roman" w:hAnsi="Times New Roman" w:eastAsia="仿宋_GB2312" w:cs="Times New Roman"/>
          <w:color w:val="auto"/>
          <w:sz w:val="32"/>
          <w:szCs w:val="32"/>
          <w:highlight w:val="none"/>
          <w:lang w:eastAsia="zh-CN"/>
        </w:rPr>
        <w:t>带来较好的社会效益和经济效益、</w:t>
      </w:r>
      <w:r>
        <w:rPr>
          <w:rFonts w:hint="eastAsia" w:eastAsia="仿宋_GB2312" w:cs="Times New Roman"/>
          <w:color w:val="auto"/>
          <w:sz w:val="32"/>
          <w:szCs w:val="32"/>
          <w:highlight w:val="none"/>
          <w:lang w:val="en-US" w:eastAsia="zh-CN"/>
        </w:rPr>
        <w:t>填补三亚市场空白、</w:t>
      </w:r>
      <w:r>
        <w:rPr>
          <w:rFonts w:hint="default" w:ascii="Times New Roman" w:hAnsi="Times New Roman" w:eastAsia="仿宋_GB2312" w:cs="Times New Roman"/>
          <w:color w:val="auto"/>
          <w:sz w:val="32"/>
          <w:szCs w:val="32"/>
          <w:highlight w:val="none"/>
          <w:lang w:eastAsia="zh-CN"/>
        </w:rPr>
        <w:t>推动</w:t>
      </w:r>
      <w:r>
        <w:rPr>
          <w:rFonts w:hint="eastAsia" w:eastAsia="仿宋_GB2312" w:cs="Times New Roman"/>
          <w:color w:val="auto"/>
          <w:sz w:val="32"/>
          <w:szCs w:val="32"/>
          <w:highlight w:val="none"/>
          <w:lang w:val="en-US" w:eastAsia="zh-CN"/>
        </w:rPr>
        <w:t>旅游产业转型升级</w:t>
      </w:r>
      <w:r>
        <w:rPr>
          <w:rFonts w:hint="default" w:ascii="Times New Roman" w:hAnsi="Times New Roman" w:eastAsia="仿宋_GB2312" w:cs="Times New Roman"/>
          <w:color w:val="auto"/>
          <w:sz w:val="32"/>
          <w:szCs w:val="32"/>
          <w:highlight w:val="none"/>
          <w:lang w:eastAsia="zh-CN"/>
        </w:rPr>
        <w:t>、吸引国内外主流媒体关注或大力宣传</w:t>
      </w:r>
      <w:r>
        <w:rPr>
          <w:rFonts w:hint="default" w:ascii="Times New Roman" w:hAnsi="Times New Roman" w:eastAsia="仿宋_GB2312" w:cs="Times New Roman"/>
          <w:color w:val="auto"/>
          <w:sz w:val="32"/>
          <w:szCs w:val="32"/>
          <w:highlight w:val="none"/>
          <w:lang w:val="en-US" w:eastAsia="zh-CN"/>
        </w:rPr>
        <w:t>三亚</w:t>
      </w:r>
      <w:r>
        <w:rPr>
          <w:rFonts w:hint="default" w:ascii="Times New Roman" w:hAnsi="Times New Roman" w:eastAsia="仿宋_GB2312" w:cs="Times New Roman"/>
          <w:color w:val="auto"/>
          <w:sz w:val="32"/>
          <w:szCs w:val="32"/>
          <w:highlight w:val="none"/>
          <w:lang w:eastAsia="zh-CN"/>
        </w:rPr>
        <w:t>形象的活动。</w:t>
      </w:r>
    </w:p>
    <w:p>
      <w:pPr>
        <w:pStyle w:val="4"/>
        <w:widowControl w:val="0"/>
        <w:numPr>
          <w:numId w:val="0"/>
        </w:numPr>
        <w:wordWrap/>
        <w:adjustRightInd/>
        <w:snapToGrid/>
        <w:spacing w:line="578" w:lineRule="exact"/>
        <w:ind w:left="0" w:leftChars="0" w:right="0" w:firstLine="640"/>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val="en-US" w:eastAsia="zh-CN"/>
        </w:rPr>
        <w:t>）</w:t>
      </w:r>
      <w:r>
        <w:rPr>
          <w:rFonts w:hint="default" w:eastAsia="仿宋_GB2312" w:cs="Times New Roman"/>
          <w:color w:val="auto"/>
          <w:kern w:val="0"/>
          <w:sz w:val="32"/>
          <w:szCs w:val="32"/>
          <w:highlight w:val="none"/>
          <w:lang w:val="en-US" w:eastAsia="zh-CN"/>
        </w:rPr>
        <w:t>符合</w:t>
      </w:r>
      <w:r>
        <w:rPr>
          <w:rFonts w:hint="default" w:ascii="Times New Roman" w:hAnsi="Times New Roman" w:eastAsia="仿宋_GB2312" w:cs="Times New Roman"/>
          <w:color w:val="auto"/>
          <w:kern w:val="0"/>
          <w:sz w:val="32"/>
          <w:szCs w:val="32"/>
          <w:highlight w:val="none"/>
          <w:lang w:val="en-US" w:eastAsia="zh-CN"/>
        </w:rPr>
        <w:t>三亚现阶段重点发展方向且与旅文体产业融合度、关联度较高的</w:t>
      </w:r>
      <w:r>
        <w:rPr>
          <w:rFonts w:hint="default" w:eastAsia="仿宋_GB2312" w:cs="Times New Roman"/>
          <w:color w:val="auto"/>
          <w:kern w:val="0"/>
          <w:sz w:val="32"/>
          <w:szCs w:val="32"/>
          <w:highlight w:val="none"/>
          <w:lang w:val="en-US" w:eastAsia="zh-CN"/>
        </w:rPr>
        <w:t>、品牌影响力大和示范带动作用强的高端品牌</w:t>
      </w:r>
      <w:r>
        <w:rPr>
          <w:rFonts w:hint="default" w:ascii="Times New Roman" w:hAnsi="Times New Roman" w:eastAsia="仿宋_GB2312" w:cs="Times New Roman"/>
          <w:color w:val="auto"/>
          <w:kern w:val="0"/>
          <w:sz w:val="32"/>
          <w:szCs w:val="32"/>
          <w:highlight w:val="none"/>
          <w:lang w:val="en-US" w:eastAsia="zh-CN"/>
        </w:rPr>
        <w:t>活动</w:t>
      </w:r>
      <w:r>
        <w:rPr>
          <w:rFonts w:hint="default" w:eastAsia="仿宋_GB2312" w:cs="Times New Roman"/>
          <w:color w:val="auto"/>
          <w:kern w:val="0"/>
          <w:sz w:val="32"/>
          <w:szCs w:val="32"/>
          <w:highlight w:val="none"/>
          <w:lang w:val="en-US" w:eastAsia="zh-CN"/>
        </w:rPr>
        <w:t>，重点支持能够在三亚连续举办三年以上的活动。</w:t>
      </w:r>
    </w:p>
    <w:p>
      <w:pPr>
        <w:widowControl w:val="0"/>
        <w:numPr>
          <w:numId w:val="0"/>
        </w:numPr>
        <w:wordWrap/>
        <w:adjustRightInd/>
        <w:snapToGrid/>
        <w:spacing w:line="578"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eastAsia" w:eastAsia="仿宋_GB2312" w:cs="Times New Roman"/>
          <w:color w:val="auto"/>
          <w:kern w:val="0"/>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支持具有重大影响力的国际级和国</w:t>
      </w:r>
      <w:r>
        <w:rPr>
          <w:rFonts w:hint="default" w:ascii="Times New Roman" w:hAnsi="Times New Roman" w:eastAsia="仿宋_GB2312" w:cs="Times New Roman"/>
          <w:b w:val="0"/>
          <w:bCs w:val="0"/>
          <w:color w:val="auto"/>
          <w:sz w:val="32"/>
          <w:szCs w:val="32"/>
          <w:highlight w:val="none"/>
          <w:lang w:val="en-US" w:eastAsia="zh-CN"/>
        </w:rPr>
        <w:t>家级</w:t>
      </w:r>
      <w:r>
        <w:rPr>
          <w:rFonts w:hint="eastAsia" w:eastAsia="仿宋_GB2312" w:cs="Times New Roman"/>
          <w:b w:val="0"/>
          <w:bCs w:val="0"/>
          <w:color w:val="auto"/>
          <w:sz w:val="32"/>
          <w:szCs w:val="32"/>
          <w:highlight w:val="none"/>
          <w:lang w:val="en-US" w:eastAsia="zh-CN"/>
        </w:rPr>
        <w:t>文体</w:t>
      </w:r>
      <w:r>
        <w:rPr>
          <w:rFonts w:hint="default" w:ascii="Times New Roman" w:hAnsi="Times New Roman" w:eastAsia="仿宋_GB2312" w:cs="Times New Roman"/>
          <w:b w:val="0"/>
          <w:bCs w:val="0"/>
          <w:color w:val="auto"/>
          <w:sz w:val="32"/>
          <w:szCs w:val="32"/>
          <w:highlight w:val="none"/>
          <w:lang w:val="en-US" w:eastAsia="zh-CN"/>
        </w:rPr>
        <w:t>赛事活动</w:t>
      </w:r>
      <w:r>
        <w:rPr>
          <w:rFonts w:hint="default" w:ascii="Times New Roman" w:hAnsi="Times New Roman" w:eastAsia="仿宋_GB2312" w:cs="Times New Roman"/>
          <w:b w:val="0"/>
          <w:bCs w:val="0"/>
          <w:color w:val="auto"/>
          <w:sz w:val="32"/>
          <w:szCs w:val="32"/>
          <w:highlight w:val="none"/>
        </w:rPr>
        <w:t>。</w:t>
      </w:r>
    </w:p>
    <w:p>
      <w:pPr>
        <w:widowControl w:val="0"/>
        <w:numPr>
          <w:numId w:val="0"/>
        </w:numPr>
        <w:wordWrap/>
        <w:adjustRightInd/>
        <w:snapToGrid/>
        <w:spacing w:line="578" w:lineRule="exact"/>
        <w:ind w:right="0" w:firstLine="0" w:firstLineChars="0"/>
        <w:textAlignment w:val="auto"/>
        <w:outlineLvl w:val="9"/>
        <w:rPr>
          <w:rStyle w:val="10"/>
          <w:rFonts w:hint="default" w:ascii="Times New Roman" w:hAnsi="Times New Roman" w:eastAsia="仿宋" w:cs="Times New Roman"/>
          <w:b w:val="0"/>
          <w:bCs/>
          <w:color w:val="auto"/>
          <w:sz w:val="32"/>
          <w:szCs w:val="32"/>
          <w:highlight w:val="none"/>
        </w:rPr>
      </w:pP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lang w:val="en-US" w:eastAsia="zh-CN"/>
        </w:rPr>
        <w:t>第</w:t>
      </w:r>
      <w:r>
        <w:rPr>
          <w:rFonts w:hint="eastAsia"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val="en-US" w:eastAsia="zh-CN"/>
        </w:rPr>
        <w:t>条</w:t>
      </w:r>
      <w:r>
        <w:rPr>
          <w:rFonts w:hint="eastAsia" w:eastAsia="仿宋_GB2312" w:cs="Times New Roman"/>
          <w:b/>
          <w:bCs/>
          <w:color w:val="auto"/>
          <w:sz w:val="32"/>
          <w:szCs w:val="32"/>
          <w:highlight w:val="none"/>
          <w:lang w:val="en-US" w:eastAsia="zh-CN"/>
        </w:rPr>
        <w:t xml:space="preserve"> </w:t>
      </w:r>
      <w:r>
        <w:rPr>
          <w:rStyle w:val="10"/>
          <w:rFonts w:hint="default" w:ascii="Times New Roman" w:hAnsi="Times New Roman" w:eastAsia="仿宋" w:cs="Times New Roman"/>
          <w:b w:val="0"/>
          <w:bCs/>
          <w:color w:val="auto"/>
          <w:sz w:val="32"/>
          <w:szCs w:val="32"/>
          <w:highlight w:val="none"/>
          <w:lang w:eastAsia="zh-CN"/>
        </w:rPr>
        <w:t>市旅游和文化广电体育局</w:t>
      </w:r>
      <w:r>
        <w:rPr>
          <w:rStyle w:val="10"/>
          <w:rFonts w:hint="default" w:ascii="Times New Roman" w:hAnsi="Times New Roman" w:eastAsia="仿宋" w:cs="Times New Roman"/>
          <w:b w:val="0"/>
          <w:bCs/>
          <w:color w:val="auto"/>
          <w:sz w:val="32"/>
          <w:szCs w:val="32"/>
          <w:highlight w:val="none"/>
        </w:rPr>
        <w:t>负责对全市</w:t>
      </w:r>
      <w:r>
        <w:rPr>
          <w:rStyle w:val="10"/>
          <w:rFonts w:hint="eastAsia" w:eastAsia="仿宋" w:cs="Times New Roman"/>
          <w:b w:val="0"/>
          <w:bCs/>
          <w:color w:val="auto"/>
          <w:sz w:val="32"/>
          <w:szCs w:val="32"/>
          <w:highlight w:val="none"/>
          <w:lang w:val="en-US" w:eastAsia="zh-CN"/>
        </w:rPr>
        <w:t>大型</w:t>
      </w:r>
      <w:r>
        <w:rPr>
          <w:rStyle w:val="10"/>
          <w:rFonts w:hint="default" w:ascii="Times New Roman" w:hAnsi="Times New Roman" w:eastAsia="仿宋" w:cs="Times New Roman"/>
          <w:b w:val="0"/>
          <w:bCs/>
          <w:color w:val="auto"/>
          <w:sz w:val="32"/>
          <w:szCs w:val="32"/>
          <w:highlight w:val="none"/>
        </w:rPr>
        <w:t>活动进行宏观指导及行业管理，征集</w:t>
      </w:r>
      <w:r>
        <w:rPr>
          <w:rStyle w:val="10"/>
          <w:rFonts w:hint="default" w:ascii="Times New Roman" w:hAnsi="Times New Roman" w:eastAsia="仿宋" w:cs="Times New Roman"/>
          <w:b w:val="0"/>
          <w:bCs/>
          <w:color w:val="auto"/>
          <w:sz w:val="32"/>
          <w:szCs w:val="32"/>
          <w:highlight w:val="none"/>
          <w:lang w:val="en-US" w:eastAsia="zh-CN"/>
        </w:rPr>
        <w:t>活动</w:t>
      </w:r>
      <w:r>
        <w:rPr>
          <w:rStyle w:val="10"/>
          <w:rFonts w:hint="default" w:ascii="Times New Roman" w:hAnsi="Times New Roman" w:eastAsia="仿宋" w:cs="Times New Roman"/>
          <w:b w:val="0"/>
          <w:bCs/>
          <w:color w:val="auto"/>
          <w:sz w:val="32"/>
          <w:szCs w:val="32"/>
          <w:highlight w:val="none"/>
        </w:rPr>
        <w:t>项目，牵头建立</w:t>
      </w:r>
      <w:r>
        <w:rPr>
          <w:rStyle w:val="10"/>
          <w:rFonts w:hint="eastAsia" w:eastAsia="仿宋" w:cs="Times New Roman"/>
          <w:b w:val="0"/>
          <w:bCs/>
          <w:color w:val="auto"/>
          <w:sz w:val="32"/>
          <w:szCs w:val="32"/>
          <w:highlight w:val="none"/>
          <w:lang w:eastAsia="zh-CN"/>
        </w:rPr>
        <w:t>市级大型活动项目库</w:t>
      </w:r>
      <w:r>
        <w:rPr>
          <w:rStyle w:val="10"/>
          <w:rFonts w:hint="default" w:ascii="Times New Roman" w:hAnsi="Times New Roman" w:eastAsia="仿宋" w:cs="Times New Roman"/>
          <w:b w:val="0"/>
          <w:bCs/>
          <w:color w:val="auto"/>
          <w:sz w:val="32"/>
          <w:szCs w:val="32"/>
          <w:highlight w:val="none"/>
        </w:rPr>
        <w:t>，汇总</w:t>
      </w:r>
      <w:r>
        <w:rPr>
          <w:rStyle w:val="10"/>
          <w:rFonts w:hint="eastAsia" w:eastAsia="仿宋" w:cs="Times New Roman"/>
          <w:b w:val="0"/>
          <w:bCs/>
          <w:color w:val="auto"/>
          <w:sz w:val="32"/>
          <w:szCs w:val="32"/>
          <w:highlight w:val="none"/>
          <w:lang w:val="en-US" w:eastAsia="zh-CN"/>
        </w:rPr>
        <w:t>和审查</w:t>
      </w:r>
      <w:r>
        <w:rPr>
          <w:rStyle w:val="10"/>
          <w:rFonts w:hint="default" w:ascii="Times New Roman" w:hAnsi="Times New Roman" w:eastAsia="仿宋" w:cs="Times New Roman"/>
          <w:b w:val="0"/>
          <w:bCs/>
          <w:color w:val="auto"/>
          <w:sz w:val="32"/>
          <w:szCs w:val="32"/>
          <w:highlight w:val="none"/>
          <w:lang w:val="en-US" w:eastAsia="zh-CN"/>
        </w:rPr>
        <w:t>活动</w:t>
      </w:r>
      <w:r>
        <w:rPr>
          <w:rStyle w:val="10"/>
          <w:rFonts w:hint="default" w:ascii="Times New Roman" w:hAnsi="Times New Roman" w:eastAsia="仿宋" w:cs="Times New Roman"/>
          <w:b w:val="0"/>
          <w:bCs/>
          <w:color w:val="auto"/>
          <w:sz w:val="32"/>
          <w:szCs w:val="32"/>
          <w:highlight w:val="none"/>
        </w:rPr>
        <w:t>方案和</w:t>
      </w:r>
      <w:r>
        <w:rPr>
          <w:rStyle w:val="10"/>
          <w:rFonts w:hint="default" w:ascii="Times New Roman" w:hAnsi="Times New Roman" w:eastAsia="仿宋" w:cs="Times New Roman"/>
          <w:b w:val="0"/>
          <w:bCs/>
          <w:color w:val="auto"/>
          <w:sz w:val="32"/>
          <w:szCs w:val="32"/>
          <w:highlight w:val="none"/>
          <w:lang w:val="en-US" w:eastAsia="zh-CN"/>
        </w:rPr>
        <w:t>活动</w:t>
      </w:r>
      <w:r>
        <w:rPr>
          <w:rStyle w:val="10"/>
          <w:rFonts w:hint="default" w:ascii="Times New Roman" w:hAnsi="Times New Roman" w:eastAsia="仿宋" w:cs="Times New Roman"/>
          <w:b w:val="0"/>
          <w:bCs/>
          <w:color w:val="auto"/>
          <w:sz w:val="32"/>
          <w:szCs w:val="32"/>
          <w:highlight w:val="none"/>
        </w:rPr>
        <w:t>预算，编报全市</w:t>
      </w:r>
      <w:r>
        <w:rPr>
          <w:rStyle w:val="10"/>
          <w:rFonts w:hint="eastAsia" w:eastAsia="仿宋" w:cs="Times New Roman"/>
          <w:b w:val="0"/>
          <w:bCs/>
          <w:color w:val="auto"/>
          <w:sz w:val="32"/>
          <w:szCs w:val="32"/>
          <w:highlight w:val="none"/>
          <w:lang w:val="en-US" w:eastAsia="zh-CN"/>
        </w:rPr>
        <w:t>大型活动资金</w:t>
      </w:r>
      <w:r>
        <w:rPr>
          <w:rStyle w:val="10"/>
          <w:rFonts w:hint="default" w:ascii="Times New Roman" w:hAnsi="Times New Roman" w:eastAsia="仿宋" w:cs="Times New Roman"/>
          <w:b w:val="0"/>
          <w:bCs/>
          <w:color w:val="auto"/>
          <w:sz w:val="32"/>
          <w:szCs w:val="32"/>
          <w:highlight w:val="none"/>
        </w:rPr>
        <w:t>年度预算、拟定资金使用计划，会同市</w:t>
      </w:r>
      <w:r>
        <w:rPr>
          <w:rStyle w:val="10"/>
          <w:rFonts w:hint="default" w:ascii="Times New Roman" w:hAnsi="Times New Roman" w:eastAsia="仿宋" w:cs="Times New Roman"/>
          <w:b w:val="0"/>
          <w:bCs/>
          <w:color w:val="auto"/>
          <w:sz w:val="32"/>
          <w:szCs w:val="32"/>
          <w:highlight w:val="none"/>
          <w:lang w:val="en-US" w:eastAsia="zh-CN"/>
        </w:rPr>
        <w:t>财政</w:t>
      </w:r>
      <w:r>
        <w:rPr>
          <w:rStyle w:val="10"/>
          <w:rFonts w:hint="default" w:ascii="Times New Roman" w:hAnsi="Times New Roman" w:eastAsia="仿宋" w:cs="Times New Roman"/>
          <w:b w:val="0"/>
          <w:bCs/>
          <w:color w:val="auto"/>
          <w:sz w:val="32"/>
          <w:szCs w:val="32"/>
          <w:highlight w:val="none"/>
        </w:rPr>
        <w:t>局、</w:t>
      </w:r>
      <w:r>
        <w:rPr>
          <w:rStyle w:val="10"/>
          <w:rFonts w:hint="eastAsia" w:eastAsia="仿宋" w:cs="Times New Roman"/>
          <w:b w:val="0"/>
          <w:bCs/>
          <w:color w:val="auto"/>
          <w:sz w:val="32"/>
          <w:szCs w:val="32"/>
          <w:highlight w:val="none"/>
          <w:lang w:eastAsia="zh-CN"/>
        </w:rPr>
        <w:t>行业主管部门</w:t>
      </w:r>
      <w:r>
        <w:rPr>
          <w:rStyle w:val="10"/>
          <w:rFonts w:hint="default" w:ascii="Times New Roman" w:hAnsi="Times New Roman" w:eastAsia="仿宋" w:cs="Times New Roman"/>
          <w:b w:val="0"/>
          <w:bCs/>
          <w:color w:val="auto"/>
          <w:sz w:val="32"/>
          <w:szCs w:val="32"/>
          <w:highlight w:val="none"/>
        </w:rPr>
        <w:t>对</w:t>
      </w:r>
      <w:r>
        <w:rPr>
          <w:rStyle w:val="10"/>
          <w:rFonts w:hint="eastAsia" w:eastAsia="仿宋" w:cs="Times New Roman"/>
          <w:b w:val="0"/>
          <w:bCs/>
          <w:color w:val="auto"/>
          <w:sz w:val="32"/>
          <w:szCs w:val="32"/>
          <w:highlight w:val="none"/>
          <w:lang w:eastAsia="zh-CN"/>
        </w:rPr>
        <w:t>大型活动资金</w:t>
      </w:r>
      <w:r>
        <w:rPr>
          <w:rStyle w:val="10"/>
          <w:rFonts w:hint="default" w:ascii="Times New Roman" w:hAnsi="Times New Roman" w:eastAsia="仿宋" w:cs="Times New Roman"/>
          <w:b w:val="0"/>
          <w:bCs/>
          <w:color w:val="auto"/>
          <w:sz w:val="32"/>
          <w:szCs w:val="32"/>
          <w:highlight w:val="none"/>
        </w:rPr>
        <w:t>使用情况进行监督检查和绩效评价。</w:t>
      </w:r>
    </w:p>
    <w:p>
      <w:pPr>
        <w:widowControl w:val="0"/>
        <w:numPr>
          <w:numId w:val="0"/>
        </w:numPr>
        <w:wordWrap/>
        <w:adjustRightInd/>
        <w:snapToGrid/>
        <w:spacing w:line="578" w:lineRule="exact"/>
        <w:ind w:right="0" w:firstLine="640" w:firstLineChars="200"/>
        <w:textAlignment w:val="auto"/>
        <w:outlineLvl w:val="9"/>
        <w:rPr>
          <w:rStyle w:val="10"/>
          <w:rFonts w:hint="default" w:ascii="Times New Roman" w:hAnsi="Times New Roman" w:eastAsia="仿宋" w:cs="Times New Roman"/>
          <w:color w:val="auto"/>
          <w:sz w:val="32"/>
          <w:szCs w:val="32"/>
          <w:highlight w:val="none"/>
        </w:rPr>
      </w:pPr>
      <w:r>
        <w:rPr>
          <w:rStyle w:val="10"/>
          <w:rFonts w:hint="eastAsia" w:eastAsia="仿宋" w:cs="Times New Roman"/>
          <w:b w:val="0"/>
          <w:bCs/>
          <w:color w:val="auto"/>
          <w:sz w:val="32"/>
          <w:szCs w:val="32"/>
          <w:highlight w:val="none"/>
          <w:lang w:eastAsia="zh-CN"/>
        </w:rPr>
        <w:t>行业主管部门根据市委市政府年度工作计划，</w:t>
      </w:r>
      <w:r>
        <w:rPr>
          <w:rStyle w:val="10"/>
          <w:rFonts w:hint="default" w:ascii="Times New Roman" w:hAnsi="Times New Roman" w:eastAsia="仿宋" w:cs="Times New Roman"/>
          <w:b w:val="0"/>
          <w:bCs/>
          <w:color w:val="auto"/>
          <w:sz w:val="32"/>
          <w:szCs w:val="32"/>
          <w:highlight w:val="none"/>
        </w:rPr>
        <w:t>提前谋划分管行业领域</w:t>
      </w:r>
      <w:r>
        <w:rPr>
          <w:rStyle w:val="10"/>
          <w:rFonts w:hint="eastAsia" w:eastAsia="仿宋" w:cs="Times New Roman"/>
          <w:b w:val="0"/>
          <w:bCs/>
          <w:color w:val="auto"/>
          <w:sz w:val="32"/>
          <w:szCs w:val="32"/>
          <w:highlight w:val="none"/>
          <w:lang w:val="en-US" w:eastAsia="zh-CN"/>
        </w:rPr>
        <w:t>大型</w:t>
      </w:r>
      <w:r>
        <w:rPr>
          <w:rStyle w:val="10"/>
          <w:rFonts w:hint="default" w:ascii="Times New Roman" w:hAnsi="Times New Roman" w:eastAsia="仿宋" w:cs="Times New Roman"/>
          <w:b w:val="0"/>
          <w:bCs/>
          <w:color w:val="auto"/>
          <w:sz w:val="32"/>
          <w:szCs w:val="32"/>
          <w:highlight w:val="none"/>
        </w:rPr>
        <w:t>活动，按照年度预算编制的时间节点向</w:t>
      </w:r>
      <w:r>
        <w:rPr>
          <w:rStyle w:val="10"/>
          <w:rFonts w:hint="default" w:ascii="Times New Roman" w:hAnsi="Times New Roman" w:eastAsia="仿宋" w:cs="Times New Roman"/>
          <w:b w:val="0"/>
          <w:bCs/>
          <w:color w:val="auto"/>
          <w:sz w:val="32"/>
          <w:szCs w:val="32"/>
          <w:highlight w:val="none"/>
          <w:lang w:eastAsia="zh-CN"/>
        </w:rPr>
        <w:t>市旅游和文化广电体育局</w:t>
      </w:r>
      <w:r>
        <w:rPr>
          <w:rStyle w:val="10"/>
          <w:rFonts w:hint="default" w:ascii="Times New Roman" w:hAnsi="Times New Roman" w:eastAsia="仿宋" w:cs="Times New Roman"/>
          <w:b w:val="0"/>
          <w:bCs/>
          <w:color w:val="auto"/>
          <w:sz w:val="32"/>
          <w:szCs w:val="32"/>
          <w:highlight w:val="none"/>
        </w:rPr>
        <w:t>提报下一年度本部门本行业举办</w:t>
      </w:r>
      <w:r>
        <w:rPr>
          <w:rStyle w:val="10"/>
          <w:rFonts w:hint="eastAsia" w:eastAsia="仿宋" w:cs="Times New Roman"/>
          <w:b w:val="0"/>
          <w:bCs/>
          <w:color w:val="auto"/>
          <w:sz w:val="32"/>
          <w:szCs w:val="32"/>
          <w:highlight w:val="none"/>
          <w:lang w:val="en-US" w:eastAsia="zh-CN"/>
        </w:rPr>
        <w:t>大型</w:t>
      </w:r>
      <w:r>
        <w:rPr>
          <w:rStyle w:val="10"/>
          <w:rFonts w:hint="default" w:ascii="Times New Roman" w:hAnsi="Times New Roman" w:eastAsia="仿宋" w:cs="Times New Roman"/>
          <w:b w:val="0"/>
          <w:bCs/>
          <w:color w:val="auto"/>
          <w:sz w:val="32"/>
          <w:szCs w:val="32"/>
          <w:highlight w:val="none"/>
          <w:lang w:val="en-US" w:eastAsia="zh-CN"/>
        </w:rPr>
        <w:t>活动</w:t>
      </w:r>
      <w:r>
        <w:rPr>
          <w:rStyle w:val="10"/>
          <w:rFonts w:hint="default" w:ascii="Times New Roman" w:hAnsi="Times New Roman" w:eastAsia="仿宋" w:cs="Times New Roman"/>
          <w:b w:val="0"/>
          <w:bCs/>
          <w:color w:val="auto"/>
          <w:sz w:val="32"/>
          <w:szCs w:val="32"/>
          <w:highlight w:val="none"/>
        </w:rPr>
        <w:t>的资金预算</w:t>
      </w:r>
      <w:r>
        <w:rPr>
          <w:rStyle w:val="10"/>
          <w:rFonts w:hint="default" w:ascii="Times New Roman" w:hAnsi="Times New Roman" w:eastAsia="仿宋" w:cs="Times New Roman"/>
          <w:b w:val="0"/>
          <w:bCs/>
          <w:color w:val="auto"/>
          <w:sz w:val="32"/>
          <w:szCs w:val="32"/>
          <w:highlight w:val="none"/>
          <w:lang w:eastAsia="zh-CN"/>
        </w:rPr>
        <w:t>，</w:t>
      </w:r>
      <w:r>
        <w:rPr>
          <w:rStyle w:val="10"/>
          <w:rFonts w:hint="default" w:ascii="Times New Roman" w:hAnsi="Times New Roman" w:eastAsia="仿宋" w:cs="Times New Roman"/>
          <w:b w:val="0"/>
          <w:bCs/>
          <w:color w:val="auto"/>
          <w:sz w:val="32"/>
          <w:szCs w:val="32"/>
          <w:highlight w:val="none"/>
        </w:rPr>
        <w:t>设定资金使用的绩效目标，做好资金绩效执行跟踪监控与绩效自评工作。</w:t>
      </w:r>
    </w:p>
    <w:p>
      <w:pPr>
        <w:widowControl w:val="0"/>
        <w:numPr>
          <w:numId w:val="0"/>
        </w:numPr>
        <w:wordWrap/>
        <w:adjustRightInd/>
        <w:snapToGrid/>
        <w:spacing w:line="578" w:lineRule="exact"/>
        <w:ind w:right="0" w:firstLine="640" w:firstLineChars="200"/>
        <w:textAlignment w:val="auto"/>
        <w:outlineLvl w:val="9"/>
        <w:rPr>
          <w:rStyle w:val="10"/>
          <w:rFonts w:hint="default" w:ascii="Times New Roman" w:hAnsi="Times New Roman" w:eastAsia="仿宋" w:cs="Times New Roman"/>
          <w:b w:val="0"/>
          <w:bCs/>
          <w:color w:val="auto"/>
          <w:sz w:val="32"/>
          <w:szCs w:val="32"/>
          <w:highlight w:val="none"/>
        </w:rPr>
      </w:pPr>
      <w:r>
        <w:rPr>
          <w:rStyle w:val="10"/>
          <w:rFonts w:hint="default" w:ascii="Times New Roman" w:hAnsi="Times New Roman" w:eastAsia="仿宋" w:cs="Times New Roman"/>
          <w:b w:val="0"/>
          <w:bCs/>
          <w:color w:val="auto"/>
          <w:sz w:val="32"/>
          <w:szCs w:val="32"/>
          <w:highlight w:val="none"/>
        </w:rPr>
        <w:t>市财政局负责资金的预算管理，会同市旅游和文化广电体育局、</w:t>
      </w:r>
      <w:r>
        <w:rPr>
          <w:rStyle w:val="10"/>
          <w:rFonts w:hint="eastAsia" w:eastAsia="仿宋" w:cs="Times New Roman"/>
          <w:b w:val="0"/>
          <w:bCs/>
          <w:color w:val="auto"/>
          <w:sz w:val="32"/>
          <w:szCs w:val="32"/>
          <w:highlight w:val="none"/>
          <w:lang w:eastAsia="zh-CN"/>
        </w:rPr>
        <w:t>行业主管部门</w:t>
      </w:r>
      <w:r>
        <w:rPr>
          <w:rStyle w:val="10"/>
          <w:rFonts w:hint="default" w:ascii="Times New Roman" w:hAnsi="Times New Roman" w:eastAsia="仿宋" w:cs="Times New Roman"/>
          <w:b w:val="0"/>
          <w:bCs/>
          <w:color w:val="auto"/>
          <w:sz w:val="32"/>
          <w:szCs w:val="32"/>
          <w:highlight w:val="none"/>
        </w:rPr>
        <w:t>对</w:t>
      </w:r>
      <w:r>
        <w:rPr>
          <w:rStyle w:val="10"/>
          <w:rFonts w:hint="eastAsia" w:eastAsia="仿宋" w:cs="Times New Roman"/>
          <w:b w:val="0"/>
          <w:bCs/>
          <w:color w:val="auto"/>
          <w:sz w:val="32"/>
          <w:szCs w:val="32"/>
          <w:highlight w:val="none"/>
          <w:lang w:eastAsia="zh-CN"/>
        </w:rPr>
        <w:t>大型活动资金</w:t>
      </w:r>
      <w:r>
        <w:rPr>
          <w:rStyle w:val="10"/>
          <w:rFonts w:hint="default" w:ascii="Times New Roman" w:hAnsi="Times New Roman" w:eastAsia="仿宋" w:cs="Times New Roman"/>
          <w:b w:val="0"/>
          <w:bCs/>
          <w:color w:val="auto"/>
          <w:sz w:val="32"/>
          <w:szCs w:val="32"/>
          <w:highlight w:val="none"/>
        </w:rPr>
        <w:t>使用情况进行监督检查和绩效评价。</w:t>
      </w:r>
    </w:p>
    <w:p>
      <w:pPr>
        <w:widowControl w:val="0"/>
        <w:numPr>
          <w:ilvl w:val="0"/>
          <w:numId w:val="1"/>
        </w:numPr>
        <w:wordWrap/>
        <w:adjustRightInd/>
        <w:snapToGrid/>
        <w:spacing w:line="578"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b w:val="0"/>
          <w:bCs w:val="0"/>
          <w:color w:val="auto"/>
          <w:sz w:val="32"/>
          <w:szCs w:val="32"/>
          <w:highlight w:val="none"/>
          <w:lang w:val="en-US" w:eastAsia="zh-CN"/>
        </w:rPr>
        <w:t>对于由</w:t>
      </w:r>
      <w:r>
        <w:rPr>
          <w:rFonts w:hint="default" w:ascii="Times New Roman" w:hAnsi="Times New Roman" w:eastAsia="仿宋_GB2312" w:cs="Times New Roman"/>
          <w:color w:val="auto"/>
          <w:sz w:val="32"/>
          <w:szCs w:val="32"/>
          <w:highlight w:val="none"/>
          <w:lang w:val="en-US" w:eastAsia="zh-CN"/>
        </w:rPr>
        <w:t>市场</w:t>
      </w:r>
      <w:r>
        <w:rPr>
          <w:rFonts w:hint="eastAsia" w:eastAsia="仿宋_GB2312" w:cs="Times New Roman"/>
          <w:color w:val="auto"/>
          <w:sz w:val="32"/>
          <w:szCs w:val="32"/>
          <w:highlight w:val="none"/>
          <w:lang w:val="en-US" w:eastAsia="zh-CN"/>
        </w:rPr>
        <w:t>主体发起并全额出资的大型</w:t>
      </w:r>
      <w:r>
        <w:rPr>
          <w:rFonts w:hint="default" w:ascii="Times New Roman" w:hAnsi="Times New Roman" w:eastAsia="仿宋_GB2312" w:cs="Times New Roman"/>
          <w:color w:val="auto"/>
          <w:sz w:val="32"/>
          <w:szCs w:val="32"/>
          <w:highlight w:val="none"/>
          <w:lang w:val="en-US" w:eastAsia="zh-CN"/>
        </w:rPr>
        <w:t>活动，按照以奖代补</w:t>
      </w:r>
      <w:r>
        <w:rPr>
          <w:rFonts w:hint="eastAsia" w:eastAsia="仿宋_GB2312" w:cs="Times New Roman"/>
          <w:color w:val="auto"/>
          <w:sz w:val="32"/>
          <w:szCs w:val="32"/>
          <w:highlight w:val="none"/>
          <w:lang w:val="en-US" w:eastAsia="zh-CN"/>
        </w:rPr>
        <w:t>、事后奖励</w:t>
      </w:r>
      <w:r>
        <w:rPr>
          <w:rFonts w:hint="default" w:ascii="Times New Roman" w:hAnsi="Times New Roman" w:eastAsia="仿宋_GB2312" w:cs="Times New Roman"/>
          <w:color w:val="auto"/>
          <w:sz w:val="32"/>
          <w:szCs w:val="32"/>
          <w:highlight w:val="none"/>
          <w:lang w:val="en-US" w:eastAsia="zh-CN"/>
        </w:rPr>
        <w:t>的方式给予支持</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奖励资金根据活动举办后</w:t>
      </w:r>
      <w:r>
        <w:rPr>
          <w:rFonts w:hint="eastAsia" w:eastAsia="仿宋_GB2312" w:cs="Times New Roman"/>
          <w:color w:val="auto"/>
          <w:sz w:val="32"/>
          <w:szCs w:val="32"/>
          <w:highlight w:val="none"/>
          <w:lang w:val="en-US" w:eastAsia="zh-CN"/>
        </w:rPr>
        <w:t>经</w:t>
      </w:r>
      <w:r>
        <w:rPr>
          <w:rFonts w:hint="default" w:ascii="Times New Roman" w:hAnsi="Times New Roman" w:eastAsia="仿宋_GB2312" w:cs="Times New Roman"/>
          <w:color w:val="auto"/>
          <w:sz w:val="32"/>
          <w:szCs w:val="32"/>
          <w:highlight w:val="none"/>
          <w:lang w:val="en-US" w:eastAsia="zh-CN"/>
        </w:rPr>
        <w:t>审计的活动实际总票据支出和绩效评分确</w:t>
      </w:r>
      <w:r>
        <w:rPr>
          <w:rFonts w:hint="eastAsia" w:eastAsia="仿宋_GB2312" w:cs="Times New Roman"/>
          <w:color w:val="auto"/>
          <w:sz w:val="32"/>
          <w:szCs w:val="32"/>
          <w:highlight w:val="none"/>
          <w:lang w:val="en-US" w:eastAsia="zh-CN"/>
        </w:rPr>
        <w:t>定</w:t>
      </w:r>
      <w:r>
        <w:rPr>
          <w:rFonts w:hint="default" w:ascii="Times New Roman" w:hAnsi="Times New Roman" w:eastAsia="仿宋_GB2312" w:cs="Times New Roman"/>
          <w:color w:val="auto"/>
          <w:sz w:val="32"/>
          <w:szCs w:val="32"/>
          <w:highlight w:val="none"/>
          <w:lang w:val="en-US" w:eastAsia="zh-CN"/>
        </w:rPr>
        <w:t>，单个项目支持比例不超过项目实际票据总支出的</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0%，且支持金额不超过</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00万元。</w:t>
      </w:r>
      <w:r>
        <w:rPr>
          <w:rFonts w:hint="eastAsia" w:eastAsia="仿宋_GB2312" w:cs="Times New Roman"/>
          <w:color w:val="auto"/>
          <w:sz w:val="32"/>
          <w:szCs w:val="32"/>
          <w:highlight w:val="none"/>
          <w:lang w:val="en-US" w:eastAsia="zh-CN"/>
        </w:rPr>
        <w:t>具体按</w:t>
      </w:r>
      <w:r>
        <w:rPr>
          <w:rFonts w:hint="default" w:ascii="Times New Roman" w:hAnsi="Times New Roman" w:eastAsia="仿宋_GB2312" w:cs="Times New Roman"/>
          <w:color w:val="auto"/>
          <w:sz w:val="32"/>
          <w:szCs w:val="32"/>
          <w:highlight w:val="none"/>
          <w:lang w:val="en-US" w:eastAsia="zh-CN"/>
        </w:rPr>
        <w:t>下列标准执行：</w:t>
      </w:r>
    </w:p>
    <w:p>
      <w:pPr>
        <w:widowControl w:val="0"/>
        <w:wordWrap/>
        <w:adjustRightInd/>
        <w:snapToGrid/>
        <w:spacing w:line="578"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val="en-US" w:eastAsia="zh-CN"/>
        </w:rPr>
        <w:t>90分（含）以上，可给予活动实际总支出的</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0%奖励，最高不超过</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00万元。</w:t>
      </w:r>
    </w:p>
    <w:p>
      <w:pPr>
        <w:widowControl w:val="0"/>
        <w:wordWrap/>
        <w:adjustRightInd/>
        <w:snapToGrid/>
        <w:spacing w:line="578"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val="en-US" w:eastAsia="zh-CN"/>
        </w:rPr>
        <w:t>80（含）—89分（含），可给予活动实际总支出的</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0%奖励，最高不超过</w:t>
      </w:r>
      <w:r>
        <w:rPr>
          <w:rFonts w:hint="eastAsia"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zh-CN"/>
        </w:rPr>
        <w:t>0万元。</w:t>
      </w:r>
    </w:p>
    <w:p>
      <w:pPr>
        <w:widowControl w:val="0"/>
        <w:wordWrap/>
        <w:adjustRightInd/>
        <w:snapToGrid/>
        <w:spacing w:line="578" w:lineRule="exact"/>
        <w:ind w:left="0" w:leftChars="0" w:right="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val="en-US" w:eastAsia="zh-CN"/>
        </w:rPr>
        <w:t>70（含）—79分（含），可给予活动实际总支出的</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0%奖励，最高不超过</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00万元。</w:t>
      </w:r>
    </w:p>
    <w:p>
      <w:pPr>
        <w:spacing w:line="578"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（四）7</w:t>
      </w:r>
      <w:r>
        <w:rPr>
          <w:rFonts w:hint="default" w:ascii="Times New Roman" w:hAnsi="Times New Roman" w:eastAsia="仿宋_GB2312" w:cs="Times New Roman"/>
          <w:color w:val="auto"/>
          <w:sz w:val="32"/>
          <w:szCs w:val="32"/>
          <w:highlight w:val="none"/>
          <w:lang w:val="en-US" w:eastAsia="zh-CN"/>
        </w:rPr>
        <w:t>0分及以下，不予奖励</w:t>
      </w:r>
      <w:r>
        <w:rPr>
          <w:rFonts w:hint="eastAsia" w:eastAsia="仿宋_GB2312" w:cs="Times New Roman"/>
          <w:color w:val="auto"/>
          <w:sz w:val="32"/>
          <w:szCs w:val="32"/>
          <w:highlight w:val="none"/>
          <w:lang w:val="en-US" w:eastAsia="zh-CN"/>
        </w:rPr>
        <w:t>且以后不再受理该活动申报</w:t>
      </w:r>
      <w:r>
        <w:rPr>
          <w:rFonts w:hint="default" w:ascii="Times New Roman" w:hAnsi="Times New Roman" w:eastAsia="仿宋_GB2312" w:cs="Times New Roman"/>
          <w:color w:val="auto"/>
          <w:sz w:val="32"/>
          <w:szCs w:val="32"/>
          <w:highlight w:val="none"/>
          <w:lang w:val="en-US" w:eastAsia="zh-CN"/>
        </w:rPr>
        <w:t>。</w:t>
      </w:r>
    </w:p>
    <w:p>
      <w:pPr>
        <w:numPr>
          <w:numId w:val="0"/>
        </w:numPr>
        <w:spacing w:line="578" w:lineRule="exact"/>
        <w:ind w:left="0" w:leftChars="0" w:firstLine="642" w:firstLineChars="200"/>
        <w:textAlignment w:val="auto"/>
        <w:outlineLvl w:val="9"/>
        <w:rPr>
          <w:rFonts w:hint="default" w:ascii="Times New Roman" w:hAnsi="Times New Roman" w:cs="Times New Roman"/>
          <w:color w:val="auto"/>
          <w:highlight w:val="none"/>
          <w:lang w:val="en-US" w:eastAsia="zh-CN"/>
        </w:rPr>
      </w:pPr>
      <w:r>
        <w:rPr>
          <w:rStyle w:val="10"/>
          <w:rFonts w:hint="default" w:ascii="Times New Roman" w:hAnsi="Times New Roman" w:eastAsia="仿宋" w:cs="Times New Roman"/>
          <w:color w:val="auto"/>
          <w:sz w:val="32"/>
          <w:szCs w:val="32"/>
          <w:highlight w:val="none"/>
        </w:rPr>
        <w:t>第</w:t>
      </w:r>
      <w:r>
        <w:rPr>
          <w:rStyle w:val="10"/>
          <w:rFonts w:hint="eastAsia" w:eastAsia="仿宋" w:cs="Times New Roman"/>
          <w:color w:val="auto"/>
          <w:sz w:val="32"/>
          <w:szCs w:val="32"/>
          <w:highlight w:val="none"/>
          <w:lang w:val="en-US" w:eastAsia="zh-CN"/>
        </w:rPr>
        <w:t>六</w:t>
      </w:r>
      <w:r>
        <w:rPr>
          <w:rStyle w:val="10"/>
          <w:rFonts w:hint="default" w:ascii="Times New Roman" w:hAnsi="Times New Roman" w:eastAsia="仿宋" w:cs="Times New Roman"/>
          <w:color w:val="auto"/>
          <w:sz w:val="32"/>
          <w:szCs w:val="32"/>
          <w:highlight w:val="none"/>
        </w:rPr>
        <w:t>条</w:t>
      </w:r>
      <w:r>
        <w:rPr>
          <w:rStyle w:val="10"/>
          <w:rFonts w:hint="default" w:ascii="Times New Roman" w:hAnsi="Times New Roman" w:eastAsia="仿宋" w:cs="Times New Roman"/>
          <w:color w:val="auto"/>
          <w:sz w:val="32"/>
          <w:szCs w:val="32"/>
          <w:highlight w:val="none"/>
          <w:lang w:val="en-US" w:eastAsia="zh-CN"/>
        </w:rPr>
        <w:t xml:space="preserve"> </w:t>
      </w:r>
      <w:r>
        <w:rPr>
          <w:rStyle w:val="10"/>
          <w:rFonts w:hint="eastAsia" w:eastAsia="仿宋" w:cs="Times New Roman"/>
          <w:b w:val="0"/>
          <w:bCs/>
          <w:color w:val="auto"/>
          <w:sz w:val="32"/>
          <w:szCs w:val="32"/>
          <w:highlight w:val="none"/>
          <w:lang w:val="en-US" w:eastAsia="zh-CN"/>
        </w:rPr>
        <w:t>鼓励</w:t>
      </w:r>
      <w:r>
        <w:rPr>
          <w:rStyle w:val="10"/>
          <w:rFonts w:hint="default" w:ascii="Times New Roman" w:hAnsi="Times New Roman" w:eastAsia="仿宋" w:cs="Times New Roman"/>
          <w:b w:val="0"/>
          <w:bCs/>
          <w:color w:val="auto"/>
          <w:sz w:val="32"/>
          <w:szCs w:val="32"/>
          <w:highlight w:val="none"/>
          <w:lang w:val="en-US" w:eastAsia="zh-CN"/>
        </w:rPr>
        <w:t>市场主体</w:t>
      </w:r>
      <w:r>
        <w:rPr>
          <w:rStyle w:val="10"/>
          <w:rFonts w:hint="eastAsia" w:eastAsia="仿宋" w:cs="Times New Roman"/>
          <w:b w:val="0"/>
          <w:bCs/>
          <w:color w:val="auto"/>
          <w:sz w:val="32"/>
          <w:szCs w:val="32"/>
          <w:highlight w:val="none"/>
          <w:lang w:val="en-US" w:eastAsia="zh-CN"/>
        </w:rPr>
        <w:t>在旅游</w:t>
      </w:r>
      <w:r>
        <w:rPr>
          <w:rStyle w:val="10"/>
          <w:rFonts w:hint="default" w:ascii="Times New Roman" w:hAnsi="Times New Roman" w:eastAsia="仿宋" w:cs="Times New Roman"/>
          <w:b w:val="0"/>
          <w:bCs/>
          <w:color w:val="auto"/>
          <w:sz w:val="32"/>
          <w:szCs w:val="32"/>
          <w:highlight w:val="none"/>
          <w:lang w:val="en-US" w:eastAsia="zh-CN"/>
        </w:rPr>
        <w:t>淡季举办活动。每年</w:t>
      </w:r>
      <w:r>
        <w:rPr>
          <w:rStyle w:val="10"/>
          <w:rFonts w:hint="eastAsia" w:eastAsia="仿宋" w:cs="Times New Roman"/>
          <w:b w:val="0"/>
          <w:bCs/>
          <w:color w:val="auto"/>
          <w:sz w:val="32"/>
          <w:szCs w:val="32"/>
          <w:highlight w:val="none"/>
          <w:lang w:val="en-US" w:eastAsia="zh-CN"/>
        </w:rPr>
        <w:t>第二季度和第三季度举办</w:t>
      </w:r>
      <w:r>
        <w:rPr>
          <w:rStyle w:val="10"/>
          <w:rFonts w:hint="default" w:ascii="Times New Roman" w:hAnsi="Times New Roman" w:eastAsia="仿宋" w:cs="Times New Roman"/>
          <w:b w:val="0"/>
          <w:bCs/>
          <w:color w:val="auto"/>
          <w:sz w:val="32"/>
          <w:szCs w:val="32"/>
          <w:highlight w:val="none"/>
          <w:lang w:val="en-US" w:eastAsia="zh-CN"/>
        </w:rPr>
        <w:t>的活动，在第</w:t>
      </w:r>
      <w:r>
        <w:rPr>
          <w:rStyle w:val="10"/>
          <w:rFonts w:hint="eastAsia" w:eastAsia="仿宋" w:cs="Times New Roman"/>
          <w:b w:val="0"/>
          <w:bCs/>
          <w:color w:val="auto"/>
          <w:sz w:val="32"/>
          <w:szCs w:val="32"/>
          <w:highlight w:val="none"/>
          <w:lang w:val="en-US" w:eastAsia="zh-CN"/>
        </w:rPr>
        <w:t>五</w:t>
      </w:r>
      <w:r>
        <w:rPr>
          <w:rStyle w:val="10"/>
          <w:rFonts w:hint="default" w:ascii="Times New Roman" w:hAnsi="Times New Roman" w:eastAsia="仿宋" w:cs="Times New Roman"/>
          <w:b w:val="0"/>
          <w:bCs/>
          <w:color w:val="auto"/>
          <w:sz w:val="32"/>
          <w:szCs w:val="32"/>
          <w:highlight w:val="none"/>
          <w:lang w:val="en-US" w:eastAsia="zh-CN"/>
        </w:rPr>
        <w:t>条支持标准的基础上再上浮</w:t>
      </w:r>
      <w:r>
        <w:rPr>
          <w:rStyle w:val="10"/>
          <w:rFonts w:hint="eastAsia" w:eastAsia="仿宋" w:cs="Times New Roman"/>
          <w:b w:val="0"/>
          <w:bCs/>
          <w:color w:val="auto"/>
          <w:sz w:val="32"/>
          <w:szCs w:val="32"/>
          <w:highlight w:val="none"/>
          <w:lang w:val="en-US" w:eastAsia="zh-CN"/>
        </w:rPr>
        <w:t>20</w:t>
      </w:r>
      <w:bookmarkStart w:id="0" w:name="_GoBack"/>
      <w:bookmarkEnd w:id="0"/>
      <w:r>
        <w:rPr>
          <w:rStyle w:val="10"/>
          <w:rFonts w:hint="default" w:ascii="Times New Roman" w:hAnsi="Times New Roman" w:eastAsia="仿宋" w:cs="Times New Roman"/>
          <w:b w:val="0"/>
          <w:bCs/>
          <w:color w:val="auto"/>
          <w:sz w:val="32"/>
          <w:szCs w:val="32"/>
          <w:highlight w:val="none"/>
          <w:lang w:val="en-US" w:eastAsia="zh-CN"/>
        </w:rPr>
        <w:t>%。</w:t>
      </w:r>
    </w:p>
    <w:p>
      <w:pPr>
        <w:spacing w:line="578" w:lineRule="exact"/>
        <w:ind w:left="0" w:leftChars="0" w:firstLine="642"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第</w:t>
      </w:r>
      <w:r>
        <w:rPr>
          <w:rFonts w:hint="eastAsia"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lang w:val="en-US" w:eastAsia="zh-CN"/>
        </w:rPr>
        <w:t xml:space="preserve">条 </w:t>
      </w:r>
      <w:r>
        <w:rPr>
          <w:rFonts w:hint="default" w:ascii="Times New Roman" w:hAnsi="Times New Roman" w:eastAsia="仿宋_GB2312" w:cs="Times New Roman"/>
          <w:color w:val="auto"/>
          <w:sz w:val="32"/>
          <w:szCs w:val="32"/>
          <w:highlight w:val="none"/>
          <w:lang w:val="en-US" w:eastAsia="zh-CN"/>
        </w:rPr>
        <w:t>市旅游和文化广电体育局根据年度工作</w:t>
      </w:r>
      <w:r>
        <w:rPr>
          <w:rFonts w:hint="eastAsia" w:eastAsia="仿宋_GB2312" w:cs="Times New Roman"/>
          <w:color w:val="auto"/>
          <w:sz w:val="32"/>
          <w:szCs w:val="32"/>
          <w:highlight w:val="none"/>
          <w:lang w:val="en-US" w:eastAsia="zh-CN"/>
        </w:rPr>
        <w:t>计划</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定期发布项目申报指南，明确</w:t>
      </w:r>
      <w:r>
        <w:rPr>
          <w:rFonts w:hint="default" w:ascii="Times New Roman" w:hAnsi="Times New Roman" w:eastAsia="仿宋_GB2312" w:cs="Times New Roman"/>
          <w:color w:val="auto"/>
          <w:sz w:val="32"/>
          <w:szCs w:val="32"/>
          <w:highlight w:val="none"/>
          <w:lang w:val="en-US" w:eastAsia="zh-CN"/>
        </w:rPr>
        <w:t>年度奖励资金支持方向、重点和项目申报具体要求</w:t>
      </w:r>
      <w:r>
        <w:rPr>
          <w:rFonts w:hint="eastAsia" w:eastAsia="仿宋_GB2312" w:cs="Times New Roman"/>
          <w:color w:val="auto"/>
          <w:sz w:val="32"/>
          <w:szCs w:val="32"/>
          <w:highlight w:val="none"/>
          <w:lang w:val="en-US" w:eastAsia="zh-CN"/>
        </w:rPr>
        <w:t>。各申报主体按照申报要求，在规定时间内上报</w:t>
      </w:r>
      <w:r>
        <w:rPr>
          <w:rFonts w:hint="default" w:eastAsia="仿宋_GB2312" w:cs="Times New Roman"/>
          <w:color w:val="auto"/>
          <w:sz w:val="32"/>
          <w:szCs w:val="32"/>
          <w:highlight w:val="none"/>
          <w:lang w:eastAsia="zh-CN"/>
        </w:rPr>
        <w:t>申报</w:t>
      </w:r>
      <w:r>
        <w:rPr>
          <w:rFonts w:hint="eastAsia"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lang w:val="en-US" w:eastAsia="zh-CN"/>
        </w:rPr>
        <w:t>。市旅游和文化广电体育局按照《三亚市</w:t>
      </w:r>
      <w:r>
        <w:rPr>
          <w:rFonts w:hint="eastAsia" w:eastAsia="仿宋_GB2312" w:cs="Times New Roman"/>
          <w:color w:val="auto"/>
          <w:sz w:val="32"/>
          <w:szCs w:val="32"/>
          <w:highlight w:val="none"/>
          <w:lang w:val="en-US" w:eastAsia="zh-CN"/>
        </w:rPr>
        <w:t>大型活动奖励</w:t>
      </w:r>
      <w:r>
        <w:rPr>
          <w:rFonts w:hint="default" w:ascii="Times New Roman" w:hAnsi="Times New Roman" w:eastAsia="仿宋_GB2312" w:cs="Times New Roman"/>
          <w:color w:val="auto"/>
          <w:sz w:val="32"/>
          <w:szCs w:val="32"/>
          <w:highlight w:val="none"/>
          <w:lang w:val="en-US" w:eastAsia="zh-CN"/>
        </w:rPr>
        <w:t>项目绩效评价标准表》进行初审，</w:t>
      </w:r>
      <w:r>
        <w:rPr>
          <w:rFonts w:hint="eastAsia" w:eastAsia="仿宋_GB2312" w:cs="Times New Roman"/>
          <w:color w:val="auto"/>
          <w:sz w:val="32"/>
          <w:szCs w:val="32"/>
          <w:highlight w:val="none"/>
          <w:lang w:val="en-US" w:eastAsia="zh-CN"/>
        </w:rPr>
        <w:t>编报</w:t>
      </w:r>
      <w:r>
        <w:rPr>
          <w:rStyle w:val="10"/>
          <w:rFonts w:hint="default" w:ascii="Times New Roman" w:hAnsi="Times New Roman" w:eastAsia="仿宋" w:cs="Times New Roman"/>
          <w:b w:val="0"/>
          <w:bCs/>
          <w:color w:val="auto"/>
          <w:sz w:val="32"/>
          <w:szCs w:val="32"/>
          <w:highlight w:val="none"/>
        </w:rPr>
        <w:t>全市</w:t>
      </w:r>
      <w:r>
        <w:rPr>
          <w:rStyle w:val="10"/>
          <w:rFonts w:hint="eastAsia" w:eastAsia="仿宋" w:cs="Times New Roman"/>
          <w:b w:val="0"/>
          <w:bCs/>
          <w:color w:val="auto"/>
          <w:sz w:val="32"/>
          <w:szCs w:val="32"/>
          <w:highlight w:val="none"/>
          <w:lang w:val="en-US" w:eastAsia="zh-CN"/>
        </w:rPr>
        <w:t>大型活动项目清单</w:t>
      </w:r>
      <w:r>
        <w:rPr>
          <w:rStyle w:val="10"/>
          <w:rFonts w:hint="eastAsia" w:eastAsia="仿宋" w:cs="Times New Roman"/>
          <w:b w:val="0"/>
          <w:bCs/>
          <w:color w:val="auto"/>
          <w:sz w:val="32"/>
          <w:szCs w:val="32"/>
          <w:highlight w:val="none"/>
          <w:lang w:eastAsia="zh-CN"/>
        </w:rPr>
        <w:t>，</w:t>
      </w:r>
      <w:r>
        <w:rPr>
          <w:rStyle w:val="10"/>
          <w:rFonts w:hint="default" w:eastAsia="仿宋" w:cs="Times New Roman"/>
          <w:b w:val="0"/>
          <w:bCs/>
          <w:color w:val="auto"/>
          <w:sz w:val="32"/>
          <w:szCs w:val="32"/>
          <w:highlight w:val="none"/>
          <w:lang w:eastAsia="zh-CN"/>
        </w:rPr>
        <w:t>经</w:t>
      </w:r>
      <w:r>
        <w:rPr>
          <w:rFonts w:hint="eastAsia" w:eastAsia="仿宋_GB2312" w:cs="Times New Roman"/>
          <w:color w:val="auto"/>
          <w:sz w:val="32"/>
          <w:szCs w:val="32"/>
          <w:highlight w:val="none"/>
          <w:lang w:val="en-US" w:eastAsia="zh-CN"/>
        </w:rPr>
        <w:t>分管市领导审</w:t>
      </w:r>
      <w:r>
        <w:rPr>
          <w:rFonts w:hint="default" w:eastAsia="仿宋_GB2312" w:cs="Times New Roman"/>
          <w:color w:val="auto"/>
          <w:sz w:val="32"/>
          <w:szCs w:val="32"/>
          <w:highlight w:val="none"/>
          <w:lang w:eastAsia="zh-CN"/>
        </w:rPr>
        <w:t>核</w:t>
      </w:r>
      <w:r>
        <w:rPr>
          <w:rFonts w:hint="eastAsia" w:eastAsia="仿宋_GB2312" w:cs="Times New Roman"/>
          <w:color w:val="auto"/>
          <w:sz w:val="32"/>
          <w:szCs w:val="32"/>
          <w:highlight w:val="none"/>
          <w:lang w:val="en-US" w:eastAsia="zh-CN"/>
        </w:rPr>
        <w:t>同意后纳入</w:t>
      </w:r>
      <w:r>
        <w:rPr>
          <w:rFonts w:hint="default" w:eastAsia="仿宋_GB2312" w:cs="Times New Roman"/>
          <w:color w:val="auto"/>
          <w:sz w:val="32"/>
          <w:szCs w:val="32"/>
          <w:highlight w:val="none"/>
          <w:lang w:eastAsia="zh-CN"/>
        </w:rPr>
        <w:t>大型活动</w:t>
      </w:r>
      <w:r>
        <w:rPr>
          <w:rFonts w:hint="eastAsia" w:eastAsia="仿宋_GB2312" w:cs="Times New Roman"/>
          <w:color w:val="auto"/>
          <w:sz w:val="32"/>
          <w:szCs w:val="32"/>
          <w:highlight w:val="none"/>
          <w:lang w:val="en-US" w:eastAsia="zh-CN"/>
        </w:rPr>
        <w:t>项目库</w:t>
      </w:r>
      <w:r>
        <w:rPr>
          <w:rFonts w:hint="default" w:eastAsia="仿宋_GB2312" w:cs="Times New Roman"/>
          <w:color w:val="auto"/>
          <w:sz w:val="32"/>
          <w:szCs w:val="32"/>
          <w:highlight w:val="none"/>
          <w:lang w:eastAsia="zh-CN"/>
        </w:rPr>
        <w:t>，未纳入项目库的活动原则上不予支持。</w:t>
      </w:r>
    </w:p>
    <w:p>
      <w:pPr>
        <w:spacing w:line="578" w:lineRule="exact"/>
        <w:ind w:left="0" w:leftChars="0" w:firstLine="642" w:firstLineChars="200"/>
        <w:textAlignment w:val="auto"/>
        <w:outlineLvl w:val="9"/>
        <w:rPr>
          <w:rFonts w:hint="eastAsia"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第八条</w:t>
      </w:r>
      <w:r>
        <w:rPr>
          <w:rFonts w:hint="eastAsia" w:eastAsia="仿宋_GB2312" w:cs="Times New Roman"/>
          <w:color w:val="auto"/>
          <w:sz w:val="32"/>
          <w:szCs w:val="32"/>
          <w:highlight w:val="none"/>
          <w:lang w:val="en-US" w:eastAsia="zh-CN"/>
        </w:rPr>
        <w:t xml:space="preserve"> 经市政府批准同意由行业主管部门主办或承办的大型活动，</w:t>
      </w:r>
      <w:r>
        <w:rPr>
          <w:rFonts w:hint="default" w:ascii="Times New Roman" w:hAnsi="Times New Roman" w:eastAsia="仿宋_GB2312" w:cs="Times New Roman"/>
          <w:color w:val="auto"/>
          <w:sz w:val="32"/>
          <w:szCs w:val="32"/>
          <w:highlight w:val="none"/>
          <w:lang w:val="en-US" w:eastAsia="zh-CN"/>
        </w:rPr>
        <w:t>所需资金按照预算编制的时间和相关要求编入承办的市级</w:t>
      </w:r>
      <w:r>
        <w:rPr>
          <w:rFonts w:hint="default" w:eastAsia="仿宋_GB2312" w:cs="Times New Roman"/>
          <w:color w:val="auto"/>
          <w:sz w:val="32"/>
          <w:szCs w:val="32"/>
          <w:highlight w:val="none"/>
          <w:lang w:eastAsia="zh-CN"/>
        </w:rPr>
        <w:t>行业</w:t>
      </w:r>
      <w:r>
        <w:rPr>
          <w:rFonts w:hint="default" w:ascii="Times New Roman" w:hAnsi="Times New Roman" w:eastAsia="仿宋_GB2312" w:cs="Times New Roman"/>
          <w:color w:val="auto"/>
          <w:sz w:val="32"/>
          <w:szCs w:val="32"/>
          <w:highlight w:val="none"/>
          <w:lang w:val="en-US" w:eastAsia="zh-CN"/>
        </w:rPr>
        <w:t>主管部门预算</w:t>
      </w:r>
      <w:r>
        <w:rPr>
          <w:rFonts w:hint="eastAsia" w:eastAsia="仿宋_GB2312" w:cs="Times New Roman"/>
          <w:color w:val="auto"/>
          <w:sz w:val="32"/>
          <w:szCs w:val="32"/>
          <w:highlight w:val="none"/>
          <w:lang w:val="en-US" w:eastAsia="zh-CN"/>
        </w:rPr>
        <w:t>，由其根据国库集中支付相关规定负责资金审核及拨付。</w:t>
      </w:r>
    </w:p>
    <w:p>
      <w:pPr>
        <w:widowControl/>
        <w:wordWrap/>
        <w:adjustRightInd/>
        <w:snapToGrid/>
        <w:spacing w:line="578" w:lineRule="exact"/>
        <w:ind w:left="0" w:leftChars="0" w:right="0" w:firstLine="642"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第九条</w:t>
      </w:r>
      <w:r>
        <w:rPr>
          <w:rFonts w:hint="eastAsia" w:eastAsia="仿宋_GB2312" w:cs="Times New Roman"/>
          <w:color w:val="auto"/>
          <w:sz w:val="32"/>
          <w:szCs w:val="32"/>
          <w:highlight w:val="none"/>
          <w:lang w:val="en-US" w:eastAsia="zh-CN"/>
        </w:rPr>
        <w:t xml:space="preserve"> 市场主体全额出资主办的大型</w:t>
      </w:r>
      <w:r>
        <w:rPr>
          <w:rFonts w:hint="default" w:ascii="Times New Roman" w:hAnsi="Times New Roman" w:eastAsia="仿宋_GB2312" w:cs="Times New Roman"/>
          <w:color w:val="auto"/>
          <w:sz w:val="32"/>
          <w:szCs w:val="32"/>
          <w:highlight w:val="none"/>
          <w:lang w:val="en-US" w:eastAsia="zh-CN"/>
        </w:rPr>
        <w:t>活动</w:t>
      </w:r>
      <w:r>
        <w:rPr>
          <w:rFonts w:hint="eastAsia"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市旅游和文化广电体育局进行跟踪督导。活动结束后</w:t>
      </w:r>
      <w:r>
        <w:rPr>
          <w:rFonts w:hint="eastAsia"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val="en-US" w:eastAsia="zh-CN"/>
        </w:rPr>
        <w:t>申报单位提交绩效自评报告、经费收支报告及验收材料等</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市旅游和文化广电体育局组织相关行业内专家对活动绩效进行</w:t>
      </w:r>
      <w:r>
        <w:rPr>
          <w:rFonts w:hint="eastAsia" w:eastAsia="仿宋_GB2312" w:cs="Times New Roman"/>
          <w:color w:val="auto"/>
          <w:sz w:val="32"/>
          <w:szCs w:val="32"/>
          <w:highlight w:val="none"/>
          <w:lang w:val="en-US" w:eastAsia="zh-CN"/>
        </w:rPr>
        <w:t>审核</w:t>
      </w:r>
      <w:r>
        <w:rPr>
          <w:rFonts w:hint="default" w:ascii="Times New Roman" w:hAnsi="Times New Roman" w:eastAsia="仿宋_GB2312" w:cs="Times New Roman"/>
          <w:color w:val="auto"/>
          <w:sz w:val="32"/>
          <w:szCs w:val="32"/>
          <w:highlight w:val="none"/>
          <w:lang w:val="en-US" w:eastAsia="zh-CN"/>
        </w:rPr>
        <w:t>合格</w:t>
      </w:r>
      <w:r>
        <w:rPr>
          <w:rFonts w:hint="eastAsia" w:eastAsia="仿宋_GB2312" w:cs="Times New Roman"/>
          <w:color w:val="auto"/>
          <w:sz w:val="32"/>
          <w:szCs w:val="32"/>
          <w:highlight w:val="none"/>
          <w:lang w:val="en-US" w:eastAsia="zh-CN"/>
        </w:rPr>
        <w:t>后，</w:t>
      </w:r>
      <w:r>
        <w:rPr>
          <w:rFonts w:hint="default" w:ascii="Times New Roman" w:hAnsi="Times New Roman" w:eastAsia="仿宋_GB2312" w:cs="Times New Roman"/>
          <w:color w:val="auto"/>
          <w:sz w:val="32"/>
          <w:szCs w:val="32"/>
          <w:highlight w:val="none"/>
          <w:lang w:val="en-US" w:eastAsia="zh-CN"/>
        </w:rPr>
        <w:t>提出奖励方案，</w:t>
      </w:r>
      <w:r>
        <w:rPr>
          <w:rFonts w:hint="eastAsia" w:eastAsia="仿宋_GB2312" w:cs="Times New Roman"/>
          <w:color w:val="auto"/>
          <w:sz w:val="32"/>
          <w:szCs w:val="32"/>
          <w:highlight w:val="none"/>
          <w:lang w:val="en-US" w:eastAsia="zh-CN"/>
        </w:rPr>
        <w:t>按程序</w:t>
      </w:r>
      <w:r>
        <w:rPr>
          <w:rFonts w:hint="default" w:ascii="Times New Roman" w:hAnsi="Times New Roman" w:eastAsia="仿宋_GB2312" w:cs="Times New Roman"/>
          <w:color w:val="auto"/>
          <w:sz w:val="32"/>
          <w:szCs w:val="32"/>
          <w:highlight w:val="none"/>
          <w:lang w:val="en-US" w:eastAsia="zh-CN"/>
        </w:rPr>
        <w:t>报市政府审议。市旅游和文化广电体育局</w:t>
      </w:r>
      <w:r>
        <w:rPr>
          <w:rFonts w:hint="eastAsia"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经市政府</w:t>
      </w:r>
      <w:r>
        <w:rPr>
          <w:rFonts w:hint="eastAsia" w:eastAsia="仿宋_GB2312" w:cs="Times New Roman"/>
          <w:color w:val="auto"/>
          <w:sz w:val="32"/>
          <w:szCs w:val="32"/>
          <w:highlight w:val="none"/>
          <w:lang w:val="en-US" w:eastAsia="zh-CN"/>
        </w:rPr>
        <w:t>同意</w:t>
      </w:r>
      <w:r>
        <w:rPr>
          <w:rFonts w:hint="default" w:eastAsia="仿宋_GB2312" w:cs="Times New Roman"/>
          <w:color w:val="auto"/>
          <w:sz w:val="32"/>
          <w:szCs w:val="32"/>
          <w:highlight w:val="none"/>
          <w:lang w:eastAsia="zh-CN"/>
        </w:rPr>
        <w:t>纳入奖励范围的大型活动</w:t>
      </w:r>
      <w:r>
        <w:rPr>
          <w:rFonts w:hint="default" w:ascii="Times New Roman" w:hAnsi="Times New Roman" w:eastAsia="仿宋_GB2312" w:cs="Times New Roman"/>
          <w:color w:val="auto"/>
          <w:sz w:val="32"/>
          <w:szCs w:val="32"/>
          <w:highlight w:val="none"/>
          <w:lang w:val="en-US" w:eastAsia="zh-CN"/>
        </w:rPr>
        <w:t>进行公示</w:t>
      </w:r>
      <w:r>
        <w:rPr>
          <w:rFonts w:hint="default" w:eastAsia="仿宋_GB2312" w:cs="Times New Roman"/>
          <w:color w:val="auto"/>
          <w:sz w:val="32"/>
          <w:szCs w:val="32"/>
          <w:highlight w:val="none"/>
          <w:lang w:eastAsia="zh-CN"/>
        </w:rPr>
        <w:t>，公示无异议后</w:t>
      </w:r>
      <w:r>
        <w:rPr>
          <w:rFonts w:hint="default" w:ascii="Times New Roman" w:hAnsi="Times New Roman" w:eastAsia="仿宋_GB2312" w:cs="Times New Roman"/>
          <w:color w:val="auto"/>
          <w:sz w:val="32"/>
          <w:szCs w:val="32"/>
          <w:highlight w:val="none"/>
          <w:lang w:val="en-US" w:eastAsia="zh-CN"/>
        </w:rPr>
        <w:t>按</w:t>
      </w:r>
      <w:r>
        <w:rPr>
          <w:rFonts w:hint="eastAsia" w:eastAsia="仿宋_GB2312" w:cs="Times New Roman"/>
          <w:color w:val="auto"/>
          <w:sz w:val="32"/>
          <w:szCs w:val="32"/>
          <w:highlight w:val="none"/>
          <w:lang w:val="en-US" w:eastAsia="zh-CN"/>
        </w:rPr>
        <w:t>国库集中支付</w:t>
      </w:r>
      <w:r>
        <w:rPr>
          <w:rFonts w:hint="default" w:eastAsia="仿宋_GB2312" w:cs="Times New Roman"/>
          <w:color w:val="auto"/>
          <w:sz w:val="32"/>
          <w:szCs w:val="32"/>
          <w:highlight w:val="none"/>
          <w:lang w:eastAsia="zh-CN"/>
        </w:rPr>
        <w:t>关规定</w:t>
      </w:r>
      <w:r>
        <w:rPr>
          <w:rFonts w:hint="default" w:ascii="Times New Roman" w:hAnsi="Times New Roman" w:eastAsia="仿宋_GB2312" w:cs="Times New Roman"/>
          <w:color w:val="auto"/>
          <w:sz w:val="32"/>
          <w:szCs w:val="32"/>
          <w:highlight w:val="none"/>
          <w:lang w:val="en-US" w:eastAsia="zh-CN"/>
        </w:rPr>
        <w:t>拨付</w:t>
      </w:r>
      <w:r>
        <w:rPr>
          <w:rFonts w:hint="default" w:eastAsia="仿宋_GB2312"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lang w:val="en-US" w:eastAsia="zh-CN"/>
        </w:rPr>
        <w:t>。</w:t>
      </w:r>
    </w:p>
    <w:p>
      <w:pPr>
        <w:spacing w:line="578" w:lineRule="exact"/>
        <w:ind w:left="0" w:leftChars="0" w:firstLine="642" w:firstLineChars="200"/>
        <w:textAlignment w:val="auto"/>
        <w:outlineLvl w:val="9"/>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第十条 </w:t>
      </w:r>
      <w:r>
        <w:rPr>
          <w:rFonts w:hint="default" w:ascii="Times New Roman" w:hAnsi="Times New Roman" w:eastAsia="仿宋_GB2312" w:cs="Times New Roman"/>
          <w:b w:val="0"/>
          <w:bCs w:val="0"/>
          <w:color w:val="auto"/>
          <w:sz w:val="32"/>
          <w:szCs w:val="32"/>
          <w:highlight w:val="none"/>
          <w:lang w:val="en-US" w:eastAsia="zh-CN"/>
        </w:rPr>
        <w:t>各</w:t>
      </w:r>
      <w:r>
        <w:rPr>
          <w:rFonts w:hint="default" w:eastAsia="仿宋_GB2312" w:cs="Times New Roman"/>
          <w:b w:val="0"/>
          <w:bCs w:val="0"/>
          <w:color w:val="auto"/>
          <w:sz w:val="32"/>
          <w:szCs w:val="32"/>
          <w:highlight w:val="none"/>
          <w:lang w:eastAsia="zh-CN"/>
        </w:rPr>
        <w:t>行业主管</w:t>
      </w:r>
      <w:r>
        <w:rPr>
          <w:rFonts w:hint="default" w:ascii="Times New Roman" w:hAnsi="Times New Roman" w:eastAsia="仿宋_GB2312" w:cs="Times New Roman"/>
          <w:b w:val="0"/>
          <w:bCs w:val="0"/>
          <w:color w:val="auto"/>
          <w:sz w:val="32"/>
          <w:szCs w:val="32"/>
          <w:highlight w:val="none"/>
          <w:lang w:val="en-US" w:eastAsia="zh-CN"/>
        </w:rPr>
        <w:t>部门</w:t>
      </w:r>
      <w:r>
        <w:rPr>
          <w:rFonts w:hint="default" w:eastAsia="仿宋_GB2312" w:cs="Times New Roman"/>
          <w:b w:val="0"/>
          <w:bCs w:val="0"/>
          <w:color w:val="auto"/>
          <w:sz w:val="32"/>
          <w:szCs w:val="32"/>
          <w:highlight w:val="none"/>
          <w:lang w:eastAsia="zh-CN"/>
        </w:rPr>
        <w:t>要</w:t>
      </w:r>
      <w:r>
        <w:rPr>
          <w:rFonts w:hint="default" w:ascii="Times New Roman" w:hAnsi="Times New Roman" w:eastAsia="仿宋_GB2312" w:cs="Times New Roman"/>
          <w:b w:val="0"/>
          <w:bCs w:val="0"/>
          <w:color w:val="auto"/>
          <w:sz w:val="32"/>
          <w:szCs w:val="32"/>
          <w:highlight w:val="none"/>
          <w:lang w:val="en-US" w:eastAsia="zh-CN"/>
        </w:rPr>
        <w:t>按照全面实施预算绩效管理的要求，</w:t>
      </w:r>
      <w:r>
        <w:rPr>
          <w:rFonts w:hint="eastAsia" w:eastAsia="仿宋_GB2312" w:cs="Times New Roman"/>
          <w:b w:val="0"/>
          <w:bCs w:val="0"/>
          <w:color w:val="auto"/>
          <w:sz w:val="32"/>
          <w:szCs w:val="32"/>
          <w:highlight w:val="none"/>
          <w:lang w:val="en-US" w:eastAsia="zh-CN"/>
        </w:rPr>
        <w:t>强化绩效目标管理，对</w:t>
      </w:r>
      <w:r>
        <w:rPr>
          <w:rFonts w:hint="eastAsia" w:eastAsia="仿宋_GB2312" w:cs="Times New Roman"/>
          <w:color w:val="auto"/>
          <w:sz w:val="32"/>
          <w:szCs w:val="32"/>
          <w:highlight w:val="none"/>
          <w:lang w:val="en-US" w:eastAsia="zh-CN"/>
        </w:rPr>
        <w:t>大型活动的举办从严把关，厉行节约，反对铺张浪费，注重活动实效。</w:t>
      </w:r>
      <w:r>
        <w:rPr>
          <w:rFonts w:hint="default" w:ascii="Times New Roman" w:hAnsi="Times New Roman" w:eastAsia="仿宋_GB2312" w:cs="Times New Roman"/>
          <w:b w:val="0"/>
          <w:bCs w:val="0"/>
          <w:color w:val="auto"/>
          <w:sz w:val="32"/>
          <w:szCs w:val="32"/>
          <w:highlight w:val="none"/>
          <w:lang w:val="en-US" w:eastAsia="zh-CN"/>
        </w:rPr>
        <w:t>市旅游和文化广电体育局按照政府信息公开的要求</w:t>
      </w:r>
      <w:r>
        <w:rPr>
          <w:rFonts w:hint="eastAsia" w:eastAsia="仿宋_GB2312" w:cs="Times New Roman"/>
          <w:b w:val="0"/>
          <w:bCs w:val="0"/>
          <w:color w:val="auto"/>
          <w:sz w:val="32"/>
          <w:szCs w:val="32"/>
          <w:highlight w:val="none"/>
          <w:lang w:val="en-US" w:eastAsia="zh-CN"/>
        </w:rPr>
        <w:t>对大型活动资金</w:t>
      </w:r>
      <w:r>
        <w:rPr>
          <w:rFonts w:hint="default" w:ascii="Times New Roman" w:hAnsi="Times New Roman" w:eastAsia="仿宋_GB2312" w:cs="Times New Roman"/>
          <w:b w:val="0"/>
          <w:bCs w:val="0"/>
          <w:color w:val="auto"/>
          <w:sz w:val="32"/>
          <w:szCs w:val="32"/>
          <w:highlight w:val="none"/>
          <w:lang w:val="en-US" w:eastAsia="zh-CN"/>
        </w:rPr>
        <w:t>的年度整体绩效目标、使用管理和绩效评价结果实施公开。</w:t>
      </w:r>
    </w:p>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78" w:lineRule="exact"/>
        <w:ind w:left="0" w:leftChars="0" w:right="0" w:firstLine="642" w:firstLineChars="200"/>
        <w:jc w:val="both"/>
        <w:textAlignment w:val="auto"/>
        <w:outlineLvl w:val="9"/>
        <w:rPr>
          <w:rStyle w:val="10"/>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w:t>
      </w:r>
      <w:r>
        <w:rPr>
          <w:rFonts w:hint="eastAsia"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lang w:val="en-US" w:eastAsia="zh-CN"/>
        </w:rPr>
        <w:t xml:space="preserve">条 </w:t>
      </w:r>
      <w:r>
        <w:rPr>
          <w:rFonts w:hint="eastAsia" w:eastAsia="仿宋_GB2312" w:cs="Times New Roman"/>
          <w:b w:val="0"/>
          <w:bCs w:val="0"/>
          <w:color w:val="auto"/>
          <w:sz w:val="32"/>
          <w:szCs w:val="32"/>
          <w:highlight w:val="none"/>
          <w:lang w:eastAsia="zh-CN"/>
        </w:rPr>
        <w:t>大型活动资金</w:t>
      </w:r>
      <w:r>
        <w:rPr>
          <w:rFonts w:hint="default" w:ascii="Times New Roman" w:hAnsi="Times New Roman" w:eastAsia="仿宋_GB2312" w:cs="Times New Roman"/>
          <w:b w:val="0"/>
          <w:bCs w:val="0"/>
          <w:color w:val="auto"/>
          <w:sz w:val="32"/>
          <w:szCs w:val="32"/>
          <w:highlight w:val="none"/>
          <w:lang w:eastAsia="zh-CN"/>
        </w:rPr>
        <w:t>不得与其他市级财政补助资金重复申请，</w:t>
      </w:r>
      <w:r>
        <w:rPr>
          <w:rFonts w:hint="default" w:ascii="Times New Roman" w:hAnsi="Times New Roman" w:eastAsia="仿宋_GB2312" w:cs="Times New Roman"/>
          <w:color w:val="auto"/>
          <w:sz w:val="32"/>
          <w:szCs w:val="32"/>
          <w:highlight w:val="none"/>
        </w:rPr>
        <w:t>已获得其他市级财政性资金支持的项目，不再给予支持。</w:t>
      </w:r>
    </w:p>
    <w:p>
      <w:pPr>
        <w:pStyle w:val="4"/>
        <w:widowControl w:val="0"/>
        <w:wordWrap/>
        <w:adjustRightInd/>
        <w:snapToGrid/>
        <w:spacing w:line="520" w:lineRule="exact"/>
        <w:ind w:right="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w:t>
      </w:r>
      <w:r>
        <w:rPr>
          <w:rFonts w:hint="eastAsia"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eastAsia="仿宋_GB2312"/>
          <w:color w:val="auto"/>
          <w:sz w:val="32"/>
          <w:szCs w:val="32"/>
          <w:highlight w:val="none"/>
          <w:lang w:eastAsia="zh-CN"/>
        </w:rPr>
        <w:t>大型活动</w:t>
      </w:r>
      <w:r>
        <w:rPr>
          <w:rFonts w:hint="default" w:eastAsia="仿宋_GB2312"/>
          <w:color w:val="auto"/>
          <w:sz w:val="32"/>
          <w:szCs w:val="32"/>
          <w:highlight w:val="none"/>
        </w:rPr>
        <w:t>资金实行专款专用，任何部门、单位和个人不得挤占、挪用或截留，依法接受审计、监察部门的监督。对以弄虚作假等手段套取骗取专项资金以及挤占挪用专项资金等各种违纪违规行为，除追回专项资金外，按《中华人民共和国预算法》《财政违法行为处罚处分条例》等规定严肃处理。对涉嫌严重违纪或违法犯罪的，按规定移送有关机关处理。</w:t>
      </w:r>
    </w:p>
    <w:p>
      <w:pPr>
        <w:widowControl w:val="0"/>
        <w:wordWrap/>
        <w:adjustRightInd/>
        <w:snapToGrid/>
        <w:spacing w:line="520" w:lineRule="exact"/>
        <w:ind w:left="0" w:leftChars="0" w:right="0" w:firstLine="642"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eastAsia"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本办法由市旅游和文化广电体育局</w:t>
      </w:r>
      <w:r>
        <w:rPr>
          <w:rFonts w:hint="default" w:eastAsia="仿宋_GB2312" w:cs="Times New Roman"/>
          <w:color w:val="auto"/>
          <w:sz w:val="32"/>
          <w:szCs w:val="32"/>
          <w:highlight w:val="none"/>
          <w:lang w:eastAsia="zh-CN"/>
        </w:rPr>
        <w:t>会同市财政局</w:t>
      </w:r>
      <w:r>
        <w:rPr>
          <w:rFonts w:hint="default" w:ascii="Times New Roman" w:hAnsi="Times New Roman" w:eastAsia="仿宋_GB2312" w:cs="Times New Roman"/>
          <w:color w:val="auto"/>
          <w:sz w:val="32"/>
          <w:szCs w:val="32"/>
          <w:highlight w:val="none"/>
          <w:lang w:val="en-US" w:eastAsia="zh-CN"/>
        </w:rPr>
        <w:t>负责解释。</w:t>
      </w:r>
    </w:p>
    <w:p>
      <w:pPr>
        <w:widowControl w:val="0"/>
        <w:wordWrap/>
        <w:adjustRightInd/>
        <w:snapToGrid/>
        <w:spacing w:line="520" w:lineRule="exact"/>
        <w:ind w:left="319" w:leftChars="152" w:right="0" w:firstLine="321" w:firstLineChars="1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eastAsia"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本办法自</w:t>
      </w:r>
      <w:r>
        <w:rPr>
          <w:rFonts w:hint="eastAsia" w:eastAsia="仿宋_GB2312" w:cs="Times New Roman"/>
          <w:color w:val="auto"/>
          <w:sz w:val="32"/>
          <w:szCs w:val="32"/>
          <w:highlight w:val="none"/>
          <w:lang w:val="en-US" w:eastAsia="zh-CN"/>
        </w:rPr>
        <w:t>发布之日一个月后</w:t>
      </w:r>
      <w:r>
        <w:rPr>
          <w:rFonts w:hint="default" w:ascii="Times New Roman" w:hAnsi="Times New Roman" w:eastAsia="仿宋_GB2312" w:cs="Times New Roman"/>
          <w:color w:val="auto"/>
          <w:sz w:val="32"/>
          <w:szCs w:val="32"/>
          <w:highlight w:val="none"/>
        </w:rPr>
        <w:t>实施。</w:t>
      </w:r>
    </w:p>
    <w:p>
      <w:pPr>
        <w:widowControl w:val="0"/>
        <w:wordWrap/>
        <w:adjustRightInd/>
        <w:snapToGrid/>
        <w:spacing w:line="52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p>
    <w:p>
      <w:pPr>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p>
    <w:p>
      <w:pPr>
        <w:spacing w:line="54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附件：三亚市</w:t>
      </w:r>
      <w:r>
        <w:rPr>
          <w:rFonts w:hint="eastAsia" w:eastAsia="仿宋_GB2312" w:cs="Times New Roman"/>
          <w:color w:val="auto"/>
          <w:sz w:val="32"/>
          <w:szCs w:val="32"/>
          <w:highlight w:val="none"/>
          <w:lang w:val="en-US" w:eastAsia="zh-CN"/>
        </w:rPr>
        <w:t>大型活动资金</w:t>
      </w:r>
      <w:r>
        <w:rPr>
          <w:rFonts w:hint="default" w:ascii="Times New Roman" w:hAnsi="Times New Roman" w:eastAsia="仿宋_GB2312" w:cs="Times New Roman"/>
          <w:color w:val="auto"/>
          <w:sz w:val="32"/>
          <w:szCs w:val="32"/>
          <w:highlight w:val="none"/>
          <w:lang w:val="en-US" w:eastAsia="zh-CN"/>
        </w:rPr>
        <w:t>项目绩效评价标准表</w:t>
      </w:r>
    </w:p>
    <w:p>
      <w:pPr>
        <w:spacing w:line="240" w:lineRule="auto"/>
        <w:rPr>
          <w:rFonts w:hint="default" w:ascii="Times New Roman" w:hAnsi="Times New Roman" w:eastAsia="黑体" w:cs="Times New Roman"/>
          <w:b w:val="0"/>
          <w:bCs w:val="0"/>
          <w:color w:val="auto"/>
          <w:sz w:val="32"/>
          <w:szCs w:val="32"/>
          <w:highlight w:val="none"/>
          <w:lang w:val="en-US" w:eastAsia="zh-CN"/>
        </w:rPr>
        <w:sectPr>
          <w:headerReference r:id="rId4" w:type="default"/>
          <w:footerReference r:id="rId5" w:type="default"/>
          <w:pgSz w:w="11906" w:h="16838"/>
          <w:pgMar w:top="1417" w:right="1474" w:bottom="1417" w:left="1587" w:header="851" w:footer="992" w:gutter="0"/>
          <w:pgNumType w:fmt="decimal"/>
          <w:cols w:space="720" w:num="1"/>
          <w:rtlGutter w:val="0"/>
          <w:docGrid w:type="lines" w:linePitch="315" w:charSpace="0"/>
        </w:sectPr>
      </w:pPr>
      <w:r>
        <w:rPr>
          <w:rFonts w:hint="default" w:ascii="Times New Roman" w:hAnsi="Times New Roman" w:eastAsia="黑体" w:cs="Times New Roman"/>
          <w:b w:val="0"/>
          <w:bCs w:val="0"/>
          <w:color w:val="auto"/>
          <w:sz w:val="32"/>
          <w:szCs w:val="32"/>
          <w:highlight w:val="none"/>
          <w:lang w:val="en-US" w:eastAsia="zh-CN"/>
        </w:rPr>
        <w:br w:type="page"/>
      </w:r>
    </w:p>
    <w:p>
      <w:pPr>
        <w:widowControl w:val="0"/>
        <w:wordWrap/>
        <w:adjustRightInd/>
        <w:snapToGrid/>
        <w:spacing w:line="510" w:lineRule="exact"/>
        <w:ind w:right="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widowControl w:val="0"/>
        <w:wordWrap/>
        <w:adjustRightInd/>
        <w:snapToGrid/>
        <w:spacing w:line="510" w:lineRule="exact"/>
        <w:ind w:right="0"/>
        <w:jc w:val="center"/>
        <w:textAlignment w:val="auto"/>
        <w:outlineLvl w:val="9"/>
        <w:rPr>
          <w:rFonts w:hint="eastAsia" w:ascii="Times New Roman" w:hAnsi="Times New Roman" w:eastAsia="方正小标宋简体" w:cs="Times New Roman"/>
          <w:color w:val="auto"/>
          <w:sz w:val="44"/>
          <w:szCs w:val="44"/>
          <w:highlight w:val="none"/>
          <w:lang w:val="en-US" w:eastAsia="zh-CN"/>
        </w:rPr>
      </w:pPr>
    </w:p>
    <w:p>
      <w:pPr>
        <w:widowControl w:val="0"/>
        <w:wordWrap/>
        <w:adjustRightInd/>
        <w:snapToGrid/>
        <w:spacing w:line="510" w:lineRule="exact"/>
        <w:ind w:right="0"/>
        <w:jc w:val="center"/>
        <w:textAlignment w:val="auto"/>
        <w:outlineLvl w:val="9"/>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三亚市大型活动资金项目绩效评价标准表</w:t>
      </w:r>
    </w:p>
    <w:tbl>
      <w:tblPr>
        <w:tblStyle w:val="13"/>
        <w:tblW w:w="13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655"/>
        <w:gridCol w:w="1656"/>
        <w:gridCol w:w="1281"/>
        <w:gridCol w:w="1184"/>
        <w:gridCol w:w="1172"/>
        <w:gridCol w:w="1536"/>
        <w:gridCol w:w="1296"/>
        <w:gridCol w:w="129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Align w:val="center"/>
          </w:tcPr>
          <w:p>
            <w:pPr>
              <w:widowControl/>
              <w:jc w:val="center"/>
              <w:textAlignment w:val="center"/>
              <w:rPr>
                <w:rFonts w:hint="default"/>
                <w:color w:val="auto"/>
                <w:highlight w:val="none"/>
                <w:lang w:val="en-US" w:eastAsia="zh-CN"/>
              </w:rPr>
            </w:pPr>
            <w:r>
              <w:rPr>
                <w:rFonts w:hint="eastAsia" w:ascii="宋体" w:hAnsi="宋体" w:eastAsia="宋体" w:cs="宋体"/>
                <w:b/>
                <w:i w:val="0"/>
                <w:color w:val="auto"/>
                <w:kern w:val="0"/>
                <w:sz w:val="24"/>
                <w:szCs w:val="24"/>
                <w:highlight w:val="none"/>
                <w:u w:val="none"/>
                <w:lang w:val="en-US" w:eastAsia="zh-CN"/>
              </w:rPr>
              <w:t>一级指标</w:t>
            </w:r>
          </w:p>
        </w:tc>
        <w:tc>
          <w:tcPr>
            <w:tcW w:w="1655" w:type="dxa"/>
            <w:vAlign w:val="center"/>
          </w:tcPr>
          <w:p>
            <w:pPr>
              <w:widowControl/>
              <w:jc w:val="center"/>
              <w:textAlignment w:val="center"/>
              <w:rPr>
                <w:rFonts w:hint="default"/>
                <w:color w:val="auto"/>
                <w:highlight w:val="none"/>
                <w:lang w:val="en-US" w:eastAsia="zh-CN"/>
              </w:rPr>
            </w:pPr>
            <w:r>
              <w:rPr>
                <w:rFonts w:hint="eastAsia" w:ascii="宋体" w:hAnsi="宋体" w:eastAsia="宋体" w:cs="宋体"/>
                <w:b/>
                <w:i w:val="0"/>
                <w:color w:val="auto"/>
                <w:kern w:val="0"/>
                <w:sz w:val="24"/>
                <w:szCs w:val="24"/>
                <w:highlight w:val="none"/>
                <w:u w:val="none"/>
                <w:lang w:val="en-US" w:eastAsia="zh-CN"/>
              </w:rPr>
              <w:t>二级指标</w:t>
            </w:r>
          </w:p>
        </w:tc>
        <w:tc>
          <w:tcPr>
            <w:tcW w:w="1656" w:type="dxa"/>
            <w:vAlign w:val="center"/>
          </w:tcPr>
          <w:p>
            <w:pPr>
              <w:widowControl/>
              <w:jc w:val="center"/>
              <w:textAlignment w:val="center"/>
              <w:rPr>
                <w:rFonts w:hint="default"/>
                <w:color w:val="auto"/>
                <w:highlight w:val="none"/>
                <w:lang w:val="en-US" w:eastAsia="zh-CN"/>
              </w:rPr>
            </w:pPr>
            <w:r>
              <w:rPr>
                <w:rFonts w:hint="eastAsia" w:ascii="宋体" w:hAnsi="宋体" w:eastAsia="宋体" w:cs="宋体"/>
                <w:b/>
                <w:i w:val="0"/>
                <w:color w:val="auto"/>
                <w:kern w:val="0"/>
                <w:sz w:val="24"/>
                <w:szCs w:val="24"/>
                <w:highlight w:val="none"/>
                <w:u w:val="none"/>
                <w:lang w:val="en-US" w:eastAsia="zh-CN"/>
              </w:rPr>
              <w:t>三级指标</w:t>
            </w:r>
          </w:p>
        </w:tc>
        <w:tc>
          <w:tcPr>
            <w:tcW w:w="1281" w:type="dxa"/>
            <w:vAlign w:val="center"/>
          </w:tcPr>
          <w:p>
            <w:pPr>
              <w:widowControl/>
              <w:jc w:val="center"/>
              <w:textAlignment w:val="center"/>
              <w:rPr>
                <w:rFonts w:hint="default"/>
                <w:color w:val="auto"/>
                <w:highlight w:val="none"/>
                <w:lang w:val="en-US" w:eastAsia="zh-CN"/>
              </w:rPr>
            </w:pPr>
            <w:r>
              <w:rPr>
                <w:rFonts w:hint="eastAsia" w:ascii="宋体" w:hAnsi="宋体" w:eastAsia="宋体" w:cs="宋体"/>
                <w:b/>
                <w:i w:val="0"/>
                <w:color w:val="auto"/>
                <w:kern w:val="0"/>
                <w:sz w:val="24"/>
                <w:szCs w:val="24"/>
                <w:highlight w:val="none"/>
                <w:u w:val="none"/>
                <w:lang w:val="en-US" w:eastAsia="zh-CN"/>
              </w:rPr>
              <w:t>权重分值</w:t>
            </w:r>
          </w:p>
        </w:tc>
        <w:tc>
          <w:tcPr>
            <w:tcW w:w="7691" w:type="dxa"/>
            <w:gridSpan w:val="6"/>
            <w:vAlign w:val="center"/>
          </w:tcPr>
          <w:p>
            <w:pPr>
              <w:widowControl/>
              <w:jc w:val="center"/>
              <w:textAlignment w:val="center"/>
              <w:rPr>
                <w:rFonts w:hint="default"/>
                <w:color w:val="auto"/>
                <w:highlight w:val="none"/>
                <w:lang w:val="en-US" w:eastAsia="zh-CN"/>
              </w:rPr>
            </w:pPr>
            <w:r>
              <w:rPr>
                <w:rFonts w:hint="eastAsia" w:ascii="宋体" w:hAnsi="宋体" w:eastAsia="宋体" w:cs="宋体"/>
                <w:b/>
                <w:i w:val="0"/>
                <w:color w:val="auto"/>
                <w:kern w:val="0"/>
                <w:sz w:val="24"/>
                <w:szCs w:val="24"/>
                <w:highlight w:val="none"/>
                <w:u w:val="none"/>
                <w:lang w:val="en-US" w:eastAsia="zh-CN"/>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trPr>
        <w:tc>
          <w:tcPr>
            <w:tcW w:w="1655" w:type="dxa"/>
            <w:vMerge w:val="restart"/>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bCs/>
                <w:i w:val="0"/>
                <w:color w:val="auto"/>
                <w:kern w:val="0"/>
                <w:sz w:val="24"/>
                <w:szCs w:val="24"/>
                <w:highlight w:val="none"/>
                <w:u w:val="none"/>
                <w:lang w:val="en-US" w:eastAsia="zh-CN"/>
              </w:rPr>
              <w:t>1.经济效益</w:t>
            </w:r>
          </w:p>
        </w:tc>
        <w:tc>
          <w:tcPr>
            <w:tcW w:w="1655" w:type="dxa"/>
            <w:vMerge w:val="restart"/>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旅游产业经济带动成效</w:t>
            </w:r>
          </w:p>
        </w:tc>
        <w:tc>
          <w:tcPr>
            <w:tcW w:w="1656" w:type="dxa"/>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对三亚产生的直接经济效益</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10</w:t>
            </w:r>
          </w:p>
        </w:tc>
        <w:tc>
          <w:tcPr>
            <w:tcW w:w="7691" w:type="dxa"/>
            <w:gridSpan w:val="6"/>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0-10分：直接经济效益/活动总支出，按实际计算结果赋分。</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10分：≥3</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9分：≥2.5</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8分：≥2</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7分：≥1.5</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6分：≥1</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若上述均不满足，该项不得分。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left"/>
              <w:rPr>
                <w:rFonts w:hint="eastAsia" w:ascii="宋体" w:hAnsi="宋体" w:eastAsia="宋体" w:cs="宋体"/>
                <w:b/>
                <w:i w:val="0"/>
                <w:color w:val="auto"/>
                <w:kern w:val="0"/>
                <w:sz w:val="24"/>
                <w:szCs w:val="24"/>
                <w:highlight w:val="none"/>
                <w:u w:val="none"/>
                <w:lang w:val="en-US" w:eastAsia="zh-CN"/>
              </w:rPr>
            </w:pPr>
          </w:p>
        </w:tc>
        <w:tc>
          <w:tcPr>
            <w:tcW w:w="1656" w:type="dxa"/>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对三亚产生的间接经济效益</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10</w:t>
            </w:r>
          </w:p>
        </w:tc>
        <w:tc>
          <w:tcPr>
            <w:tcW w:w="7691" w:type="dxa"/>
            <w:gridSpan w:val="6"/>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0-10分：间接经济效益/活动总支出，按实际计算结果赋分。</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10分：≥9</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9分：≥8</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8分：≥7</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7分：≥6</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6分：≥5</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若上述均不满足，该项不得分。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left"/>
              <w:rPr>
                <w:rFonts w:hint="eastAsia" w:ascii="宋体" w:hAnsi="宋体" w:eastAsia="宋体" w:cs="宋体"/>
                <w:b/>
                <w:i w:val="0"/>
                <w:color w:val="auto"/>
                <w:kern w:val="0"/>
                <w:sz w:val="24"/>
                <w:szCs w:val="24"/>
                <w:highlight w:val="none"/>
                <w:u w:val="none"/>
                <w:lang w:val="en-US" w:eastAsia="zh-CN"/>
              </w:rPr>
            </w:pPr>
          </w:p>
        </w:tc>
        <w:tc>
          <w:tcPr>
            <w:tcW w:w="1656" w:type="dxa"/>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活动参与人群对三亚经营性住宿场所入住率的贡献程度</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7691" w:type="dxa"/>
            <w:gridSpan w:val="6"/>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0-5分：活动参与人群入住三亚经营性住宿设施总人次/当月全市经营性住宿入住总万人次，按计算结果赋分。</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5分：≥1.5%</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4分：≥1.2%</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3分：≥1.0%</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2分：≥0.8%</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1分：≥0.5%</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若上述均不满足，该项不得分。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活动市场化运作效果</w:t>
            </w:r>
          </w:p>
        </w:tc>
        <w:tc>
          <w:tcPr>
            <w:tcW w:w="1656" w:type="dxa"/>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活动营收情况</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7691" w:type="dxa"/>
            <w:gridSpan w:val="6"/>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0-5分：通过对比活动申报项目营收计划的完成情况按比例赋分。</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5分：实现活动预期营收计划达到90%。</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4分：实现活动预期营收计划达到80%。</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3分：实现活动预期营收计划达到60%。</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2分：实现活动预期营收计划达到50%。</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若上述均不满足，该项不得分。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rPr>
              <w:t>1.小计</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rPr>
              <w:t>30</w:t>
            </w:r>
          </w:p>
        </w:tc>
        <w:tc>
          <w:tcPr>
            <w:tcW w:w="7691" w:type="dxa"/>
            <w:gridSpan w:val="6"/>
            <w:vAlign w:val="center"/>
          </w:tcPr>
          <w:p>
            <w:pPr>
              <w:jc w:val="center"/>
              <w:rPr>
                <w:rFonts w:hint="eastAsia" w:ascii="宋体" w:hAnsi="宋体" w:eastAsia="宋体" w:cs="宋体"/>
                <w:b/>
                <w:i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trPr>
        <w:tc>
          <w:tcPr>
            <w:tcW w:w="1655" w:type="dxa"/>
            <w:vMerge w:val="restart"/>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bCs/>
                <w:i w:val="0"/>
                <w:color w:val="auto"/>
                <w:kern w:val="0"/>
                <w:sz w:val="24"/>
                <w:szCs w:val="24"/>
                <w:highlight w:val="none"/>
                <w:u w:val="none"/>
                <w:lang w:val="en-US" w:eastAsia="zh-CN"/>
              </w:rPr>
              <w:t>2.社会效益</w:t>
            </w:r>
          </w:p>
        </w:tc>
        <w:tc>
          <w:tcPr>
            <w:tcW w:w="1655"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本土品牌活动培育</w:t>
            </w: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7691" w:type="dxa"/>
            <w:gridSpan w:val="6"/>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0-5分：符合三亚现阶段重点文旅体产业发展方向的高端品牌活动，综合赋分。</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*具体活动范围以三亚市旅游和文化广电体育局每年发布的项目申报指南为参考依据。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促进旅游季节性平衡</w:t>
            </w: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7691" w:type="dxa"/>
            <w:gridSpan w:val="6"/>
            <w:vAlign w:val="center"/>
          </w:tcPr>
          <w:p>
            <w:pPr>
              <w:widowControl/>
              <w:jc w:val="left"/>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0-5分：鼓励在三亚旅游淡季或全年活动最不密集时段举办，视情赋分。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rPr>
              <w:t>2.小计</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rPr>
              <w:t>10</w:t>
            </w:r>
          </w:p>
        </w:tc>
        <w:tc>
          <w:tcPr>
            <w:tcW w:w="7691" w:type="dxa"/>
            <w:gridSpan w:val="6"/>
            <w:vAlign w:val="center"/>
          </w:tcPr>
          <w:p>
            <w:pPr>
              <w:jc w:val="center"/>
              <w:rPr>
                <w:rFonts w:hint="eastAsia" w:ascii="宋体" w:hAnsi="宋体" w:eastAsia="宋体" w:cs="宋体"/>
                <w:b/>
                <w:i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restart"/>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bCs/>
                <w:i w:val="0"/>
                <w:color w:val="auto"/>
                <w:kern w:val="0"/>
                <w:sz w:val="24"/>
                <w:szCs w:val="24"/>
                <w:highlight w:val="none"/>
                <w:u w:val="none"/>
                <w:lang w:val="en-US" w:eastAsia="zh-CN"/>
              </w:rPr>
              <w:t>3.活动规模</w:t>
            </w:r>
          </w:p>
        </w:tc>
        <w:tc>
          <w:tcPr>
            <w:tcW w:w="1655" w:type="dxa"/>
            <w:vMerge w:val="restart"/>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活动参与情况</w:t>
            </w:r>
          </w:p>
        </w:tc>
        <w:tc>
          <w:tcPr>
            <w:tcW w:w="1656" w:type="dxa"/>
            <w:vMerge w:val="restart"/>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平均单场次人数</w:t>
            </w:r>
          </w:p>
        </w:tc>
        <w:tc>
          <w:tcPr>
            <w:tcW w:w="1281" w:type="dxa"/>
            <w:vMerge w:val="restart"/>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10</w:t>
            </w:r>
          </w:p>
        </w:tc>
        <w:tc>
          <w:tcPr>
            <w:tcW w:w="1184"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人数（人）</w:t>
            </w:r>
          </w:p>
        </w:tc>
        <w:tc>
          <w:tcPr>
            <w:tcW w:w="1172"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10000及以上</w:t>
            </w:r>
          </w:p>
        </w:tc>
        <w:tc>
          <w:tcPr>
            <w:tcW w:w="153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5000-9999</w:t>
            </w:r>
          </w:p>
        </w:tc>
        <w:tc>
          <w:tcPr>
            <w:tcW w:w="129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3000-4999</w:t>
            </w:r>
          </w:p>
        </w:tc>
        <w:tc>
          <w:tcPr>
            <w:tcW w:w="129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1000-2999</w:t>
            </w:r>
          </w:p>
        </w:tc>
        <w:tc>
          <w:tcPr>
            <w:tcW w:w="1207"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500-999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184"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得分</w:t>
            </w:r>
          </w:p>
        </w:tc>
        <w:tc>
          <w:tcPr>
            <w:tcW w:w="1172"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10</w:t>
            </w:r>
          </w:p>
        </w:tc>
        <w:tc>
          <w:tcPr>
            <w:tcW w:w="153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8</w:t>
            </w:r>
          </w:p>
        </w:tc>
        <w:tc>
          <w:tcPr>
            <w:tcW w:w="129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6</w:t>
            </w:r>
          </w:p>
        </w:tc>
        <w:tc>
          <w:tcPr>
            <w:tcW w:w="129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4</w:t>
            </w:r>
          </w:p>
        </w:tc>
        <w:tc>
          <w:tcPr>
            <w:tcW w:w="1207"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Align w:val="center"/>
          </w:tcPr>
          <w:p>
            <w:pPr>
              <w:widowControl/>
              <w:jc w:val="both"/>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指线下平均单场次人数，包括出席的嘉宾、参展商、选手、媒体、工作人员、现场观众。受不可抗力因素影响，则线上直接参与的境外嘉宾也纳入指标。人数统计根据交通住宿凭证、联系电话、签到表、售票预约平台的数据后台截图、回收票根、场地红外线扫描设备后台数据、多点位抽样调查结果、行政报批文件等相互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Align w:val="center"/>
          </w:tcPr>
          <w:p>
            <w:pPr>
              <w:widowControl/>
              <w:jc w:val="both"/>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*日常经营的自然客流不计入。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Align w:val="center"/>
          </w:tcPr>
          <w:p>
            <w:pPr>
              <w:widowControl/>
              <w:jc w:val="both"/>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*若线下有境外人数，则按线下境外人数占比提升分数，加至满分为止。例如平均单场次人数为500人，境外参与人数占比30%，则分数为2*（1+30%）=2.6分。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Merge w:val="restart"/>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累计总人数</w:t>
            </w:r>
          </w:p>
        </w:tc>
        <w:tc>
          <w:tcPr>
            <w:tcW w:w="1281" w:type="dxa"/>
            <w:vMerge w:val="restart"/>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10</w:t>
            </w:r>
          </w:p>
        </w:tc>
        <w:tc>
          <w:tcPr>
            <w:tcW w:w="1184"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人数（人）</w:t>
            </w:r>
          </w:p>
        </w:tc>
        <w:tc>
          <w:tcPr>
            <w:tcW w:w="1172"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20000及以上</w:t>
            </w:r>
          </w:p>
        </w:tc>
        <w:tc>
          <w:tcPr>
            <w:tcW w:w="153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10000-19999</w:t>
            </w:r>
          </w:p>
        </w:tc>
        <w:tc>
          <w:tcPr>
            <w:tcW w:w="129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6000-9999</w:t>
            </w:r>
          </w:p>
        </w:tc>
        <w:tc>
          <w:tcPr>
            <w:tcW w:w="129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2000-5999</w:t>
            </w:r>
          </w:p>
        </w:tc>
        <w:tc>
          <w:tcPr>
            <w:tcW w:w="1207"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500-1999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184"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得分</w:t>
            </w:r>
          </w:p>
        </w:tc>
        <w:tc>
          <w:tcPr>
            <w:tcW w:w="1172"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10</w:t>
            </w:r>
          </w:p>
        </w:tc>
        <w:tc>
          <w:tcPr>
            <w:tcW w:w="153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8</w:t>
            </w:r>
          </w:p>
        </w:tc>
        <w:tc>
          <w:tcPr>
            <w:tcW w:w="129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6</w:t>
            </w:r>
          </w:p>
        </w:tc>
        <w:tc>
          <w:tcPr>
            <w:tcW w:w="129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4</w:t>
            </w:r>
          </w:p>
        </w:tc>
        <w:tc>
          <w:tcPr>
            <w:tcW w:w="1207"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Merge w:val="continue"/>
            <w:vAlign w:val="center"/>
          </w:tcPr>
          <w:p>
            <w:pPr>
              <w:jc w:val="center"/>
              <w:rPr>
                <w:color w:val="auto"/>
                <w:highlight w:val="none"/>
              </w:rPr>
            </w:pP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Align w:val="center"/>
          </w:tcPr>
          <w:p>
            <w:pPr>
              <w:widowControl/>
              <w:jc w:val="both"/>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*指各场次人数总和，统计标准同单场次人数。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知名嘉宾</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5分：邀请高端嘉宾深度参与活动。</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3分：邀请顶尖专家深度参与活动，或邀请国际知名演艺人员参与活动。</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1分：邀请国内知名嘉宾参与活动，或邀请国内知名演艺人员参与活动。</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*高端嘉宾：境内外国家（地区）副部级及以上现任官员；诺贝尔奖获得者、两院院士、长江学者；世界500强全球副总裁及以上人员；世界大学排名前50大学（上一年度QS、TIMES排行榜）。</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*顶尖专家：满足《海南自由贸易港高层次人才分类标准》专业领域关于A类和B类人才认定相关标准。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3"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活动举办级别</w:t>
            </w: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5分：国际性知名品牌活动或赛事，或主办单位为国际性组织。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4分：全国性知名品牌活动或赛事，或主办单位为国家级行业协会学会、世界500强企业。</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3分：区域性知名品牌活动或赛事，或主办单位为中国500强、中国行业20强企业。</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2分：省级知名品牌活动或赛事，或主办单位为省级组织、省级100强企业。</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1分：市级知名品牌活动或赛事，或市级单位为市级组织、市级100强企业。</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*国际性组织：纳入《国际组织年鉴》中的国际性政府间组织和非政府组织。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*国家级行业协会或学会：在国务院民政管理部门登记备案，并接受年度检查的社会法人团体。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widowControl/>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rPr>
              <w:t>3.小计</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rPr>
              <w:t>30</w:t>
            </w:r>
          </w:p>
        </w:tc>
        <w:tc>
          <w:tcPr>
            <w:tcW w:w="7691" w:type="dxa"/>
            <w:gridSpan w:val="6"/>
            <w:vAlign w:val="center"/>
          </w:tcPr>
          <w:p>
            <w:pPr>
              <w:jc w:val="center"/>
              <w:rPr>
                <w:rFonts w:hint="eastAsia" w:ascii="宋体" w:hAnsi="宋体" w:eastAsia="宋体" w:cs="宋体"/>
                <w:i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restart"/>
            <w:vAlign w:val="center"/>
          </w:tcPr>
          <w:p>
            <w:pPr>
              <w:jc w:val="center"/>
              <w:rPr>
                <w:rFonts w:hint="default" w:ascii="宋体" w:hAnsi="宋体" w:eastAsia="宋体" w:cs="宋体"/>
                <w:b/>
                <w:i w:val="0"/>
                <w:color w:val="auto"/>
                <w:kern w:val="0"/>
                <w:sz w:val="24"/>
                <w:szCs w:val="24"/>
                <w:highlight w:val="none"/>
                <w:u w:val="none"/>
                <w:lang w:val="en-US" w:eastAsia="zh-CN"/>
              </w:rPr>
            </w:pPr>
            <w:r>
              <w:rPr>
                <w:rFonts w:hint="eastAsia" w:ascii="宋体" w:hAnsi="宋体" w:cs="宋体"/>
                <w:b/>
                <w:i w:val="0"/>
                <w:color w:val="auto"/>
                <w:kern w:val="0"/>
                <w:sz w:val="24"/>
                <w:szCs w:val="24"/>
                <w:highlight w:val="none"/>
                <w:u w:val="none"/>
                <w:lang w:val="en-US" w:eastAsia="zh-CN"/>
              </w:rPr>
              <w:t>4.活动影响力</w:t>
            </w:r>
          </w:p>
        </w:tc>
        <w:tc>
          <w:tcPr>
            <w:tcW w:w="1655" w:type="dxa"/>
            <w:vMerge w:val="restart"/>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品牌影响力与可持续性</w:t>
            </w: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举办届数</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5分：举办超过15届；或在三亚已举办超过10届；或知名商业品牌活动在三亚首次举办，并协议连续举办三年及以上。</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3分：举办超过10届；或在三亚已举办超过5届；或知名商业品牌活动在三亚举办，并协议连续举办三年及以上。</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1分：举办超过5届；或在三亚已举办超过3届；或知名商业品牌活动在三亚举办，并协议连续举办两年及以上。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活动热度</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w:t>
            </w: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3分：活动在新媒体等登上热搜榜前50，累计在榜时长≥12小时。</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2分：活动在新媒体等登上热搜榜前50，累计在榜时长≥6小时。</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1分：活动在新媒体等登上热搜榜前50，累计在榜时长≥1小时。</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新媒体平台包含微信、微博、抖音、今日头条、小红书、Bilibili、Instagram、Facebook、Twitter、Tiktok、YouTube等社交、视频、新闻资讯等主流新媒体平台。境内新媒体满足一个平台标准即可，同平台不累计，历史数据不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8"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restart"/>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媒体宣传推广情况</w:t>
            </w: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新闻媒体发稿情况</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6</w:t>
            </w: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6分：境内新闻媒体发稿总量300条及以上，其中：央媒发稿量20条及以上，境外新闻媒体发稿量10条及以上。</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5分：境内新闻媒体发稿总量200-299条，其中：央媒发稿量11-19条，境外新闻媒体发稿量4-9条。</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4分：境内新闻媒体发稿总量100-199条，其中：央媒发稿量6-10条，境外新闻媒体发稿量2-3条。</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3分：境内新闻媒体发稿总量50-99条，其中，央媒发稿量3-5条，境外新闻媒体发稿量1条。</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2分：境内新闻媒体发稿总量10-20条，其中，央媒发稿量1-2条。</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1分：境内新闻媒体发稿总量3-9条。</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*央媒：包括中央重点新闻网站和央媒驻地方媒体。</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*境外新闻媒体：包括中国港澳台地区新闻媒体、外国新闻媒体。</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*媒体分类参考国家网信办《互联网新闻信息稿源单位名单》：https://mp.weixin.qq.com/s/mt5vdeH6f-wLpDpJsM0NOg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3"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新媒体原创内容累计阅读播放量</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6</w:t>
            </w: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单个平台原创内容（文字、图片、视频）累计阅读量/播放量满足：</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6分：微博阅读达600万+或今日头条阅读达600万＋或微信阅读达600万+或其他新媒体阅读量/播放量达600万+。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5分：微博阅读达400万+或今日头条阅读达400万＋或微信阅读达400万+或其他新媒体阅读量/播放量达400万+。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4分：微博阅读达200万+或今日头条阅读达200万＋或微信阅读达200万+或其他新媒体阅读量/播放量达200万+。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3分：微博阅读达100万+或今日头条阅读达100万＋或微信阅读达100万+或其他新媒体阅读量/播放量达100万+。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2分：微博阅读达50万+或今日头条阅读达50万＋或微信阅读达50万+或其他新媒体阅读量/播放量达50万+。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1分：微博阅读达30万+或今日头条阅读达30万＋或微信阅读达30万+或其他新媒体阅读量/播放量达30万+。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*新媒体平台包含微信、微博、抖音、今日头条、小红书、Bilibili、Instagram、Facebook、Twitter、Tiktok、YouTube等社交、视频、新闻资讯等主流新媒体平台。</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*上述条件满足一个平台标准即可，同平台不累计，历史数据不计入。</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*下文“优质视频切片数量”“视频点赞转发量”关于新媒体平台的定义及满足条件同理。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7"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优质视频切片数量</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单条活动原创视频切片、直播切片满足：</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5分：在抖音有8个视频点赞量1万+或快手有8个视频点赞量1万+或Bilibili（b站）有8个视频点赞量1万+或其他新媒体有8个视频点赞量1万+。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4分：在抖音有6个视频点赞量1万+或快手有6个视频点赞量1万+或Bilibili（b站）有6个视频点赞量1万+或其他新媒体有6个视频点赞量1万+。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3分：在抖音有4个视频点赞量1万+或快手有4个视频点赞量1万+或Bilibili（b站）有4个视频点赞量1万+或其他新媒体有4个视频点赞量1万+。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2分：在抖音有2个视频点赞量1万+或快手有2个视频点赞量1万+或Bilibili（b站）有2个视频点赞量1万+或其他新媒体有2个视频点赞量1万+。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1分：在抖音有1个视频点赞量1万+或快手有1个视频点赞量1万+或Bilibili（b站）有1个视频点赞量1万+或其他新媒体有1个视频点赞量1万+。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9" w:hRule="atLeast"/>
        </w:trPr>
        <w:tc>
          <w:tcPr>
            <w:tcW w:w="1655"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视频点赞转发量</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5</w:t>
            </w: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单个平台原创内容（文字、图片、视频）累计点赞量及转发量满足：</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5分：微博点赞100万+，转发量20万+或抖音点赞100万+，转发量20万+或其他新媒体点赞量100万+，转发量20万+。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4分：微博点赞80万+，转发量16万+或抖音点赞80万+，转发量16万+或其他新媒体点赞量80万+，转发量16万+。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3分：微博点赞60万+，转发量12万+或抖音点赞60万+，转发量12万+或其他新媒体点赞量60万+，转发量12万+。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2分：微博点赞30万+，转发量6万+或抖音点赞30万+，转发量6万+或其他新媒体点赞量30万+，转发量6万+。</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1分：微博点赞15万+，转发量3万+或抖音点赞15万+，转发量3万+或其他新媒体点赞量15万+，转发量3万+。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widowControl/>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rPr>
              <w:t>4.小计</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rPr>
              <w:t>30</w:t>
            </w:r>
          </w:p>
        </w:tc>
        <w:tc>
          <w:tcPr>
            <w:tcW w:w="7691" w:type="dxa"/>
            <w:gridSpan w:val="6"/>
            <w:vAlign w:val="center"/>
          </w:tcPr>
          <w:p>
            <w:pPr>
              <w:jc w:val="center"/>
              <w:rPr>
                <w:rFonts w:hint="eastAsia" w:ascii="宋体" w:hAnsi="宋体" w:eastAsia="宋体" w:cs="宋体"/>
                <w:i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restart"/>
            <w:vAlign w:val="center"/>
          </w:tcPr>
          <w:p>
            <w:pPr>
              <w:widowControl/>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rPr>
              <w:t>5.正向附加分</w:t>
            </w: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促进招商引资</w:t>
            </w:r>
          </w:p>
        </w:tc>
        <w:tc>
          <w:tcPr>
            <w:tcW w:w="1281" w:type="dxa"/>
            <w:vMerge w:val="restart"/>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default" w:ascii="Arial" w:hAnsi="Arial" w:eastAsia="宋体" w:cs="Arial"/>
                <w:i w:val="0"/>
                <w:color w:val="auto"/>
                <w:kern w:val="0"/>
                <w:sz w:val="24"/>
                <w:szCs w:val="24"/>
                <w:highlight w:val="none"/>
                <w:u w:val="none"/>
                <w:lang w:val="en-US" w:eastAsia="zh-CN"/>
              </w:rPr>
              <w:t>≤</w:t>
            </w:r>
            <w:r>
              <w:rPr>
                <w:rFonts w:hint="eastAsia" w:ascii="宋体" w:hAnsi="宋体" w:eastAsia="宋体" w:cs="宋体"/>
                <w:i w:val="0"/>
                <w:color w:val="auto"/>
                <w:kern w:val="0"/>
                <w:sz w:val="24"/>
                <w:szCs w:val="24"/>
                <w:highlight w:val="none"/>
                <w:u w:val="none"/>
                <w:lang w:val="en-US" w:eastAsia="zh-CN"/>
              </w:rPr>
              <w:t>20分</w:t>
            </w: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因活动引进和举办，当年新增旅游文体关联领域登记注册企业，每新增纳税主体1家附加5分。</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*根据申报单位提供的注册的新营业执照。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促进旅文体公共服务基础设施完善</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因活动引进和举办，促进我市旅游文体公共服务设施每新增或升级一处附加5分。</w:t>
            </w:r>
            <w:r>
              <w:rPr>
                <w:rFonts w:hint="eastAsia" w:ascii="宋体" w:hAnsi="宋体" w:eastAsia="宋体" w:cs="宋体"/>
                <w:i w:val="0"/>
                <w:color w:val="auto"/>
                <w:kern w:val="0"/>
                <w:sz w:val="24"/>
                <w:szCs w:val="24"/>
                <w:highlight w:val="none"/>
                <w:u w:val="none"/>
                <w:lang w:val="en-US" w:eastAsia="zh-CN"/>
              </w:rPr>
              <w:br/>
            </w:r>
            <w:r>
              <w:rPr>
                <w:rFonts w:hint="eastAsia" w:ascii="宋体" w:hAnsi="宋体" w:eastAsia="宋体" w:cs="宋体"/>
                <w:i w:val="0"/>
                <w:color w:val="auto"/>
                <w:kern w:val="0"/>
                <w:sz w:val="24"/>
                <w:szCs w:val="24"/>
                <w:highlight w:val="none"/>
                <w:u w:val="none"/>
                <w:lang w:val="en-US" w:eastAsia="zh-CN"/>
              </w:rPr>
              <w:t>*根据申报单位提供设施新建或升级的立项证明或完工证明。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3310" w:type="dxa"/>
            <w:gridSpan w:val="2"/>
            <w:vMerge w:val="continue"/>
            <w:vAlign w:val="center"/>
          </w:tcPr>
          <w:p>
            <w:pPr>
              <w:jc w:val="center"/>
              <w:rPr>
                <w:color w:val="auto"/>
                <w:highlight w:val="none"/>
              </w:rPr>
            </w:pPr>
          </w:p>
        </w:tc>
        <w:tc>
          <w:tcPr>
            <w:tcW w:w="1656" w:type="dxa"/>
            <w:vAlign w:val="center"/>
          </w:tcPr>
          <w:p>
            <w:pPr>
              <w:widowControl/>
              <w:jc w:val="left"/>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其他促进封关运作后自贸港建设的事项</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*根据活动对封关运作后对三亚建设海南自由贸易港、海南国际旅游消费中心核心区等有关战略目标有重大正面影响力的实际情况，酌情评判加分。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restart"/>
            <w:vAlign w:val="center"/>
          </w:tcPr>
          <w:p>
            <w:pPr>
              <w:widowControl/>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rPr>
              <w:t>6.负向及红线指标</w:t>
            </w: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违法违规</w:t>
            </w:r>
          </w:p>
        </w:tc>
        <w:tc>
          <w:tcPr>
            <w:tcW w:w="1281" w:type="dxa"/>
            <w:vMerge w:val="restart"/>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default" w:ascii="Arial" w:hAnsi="Arial" w:eastAsia="宋体" w:cs="Arial"/>
                <w:i w:val="0"/>
                <w:color w:val="auto"/>
                <w:kern w:val="0"/>
                <w:sz w:val="24"/>
                <w:szCs w:val="24"/>
                <w:highlight w:val="none"/>
                <w:u w:val="none"/>
                <w:lang w:val="en-US" w:eastAsia="zh-CN"/>
              </w:rPr>
              <w:t>≥</w:t>
            </w:r>
            <w:r>
              <w:rPr>
                <w:rFonts w:hint="eastAsia" w:ascii="宋体" w:hAnsi="宋体" w:eastAsia="宋体" w:cs="宋体"/>
                <w:i w:val="0"/>
                <w:color w:val="auto"/>
                <w:kern w:val="0"/>
                <w:sz w:val="24"/>
                <w:szCs w:val="24"/>
                <w:highlight w:val="none"/>
                <w:u w:val="none"/>
                <w:lang w:val="en-US" w:eastAsia="zh-CN"/>
              </w:rPr>
              <w:t>-100分</w:t>
            </w:r>
          </w:p>
        </w:tc>
        <w:tc>
          <w:tcPr>
            <w:tcW w:w="7691" w:type="dxa"/>
            <w:gridSpan w:val="6"/>
            <w:vMerge w:val="restart"/>
            <w:vAlign w:val="center"/>
          </w:tcPr>
          <w:p>
            <w:pPr>
              <w:widowControl/>
              <w:jc w:val="left"/>
              <w:textAlignment w:val="center"/>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*根据事态严重性、处理应对结果进行评判扣分。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安全事故</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群众投诉</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意识形态错误</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310" w:type="dxa"/>
            <w:gridSpan w:val="2"/>
            <w:vMerge w:val="continue"/>
            <w:vAlign w:val="center"/>
          </w:tcPr>
          <w:p>
            <w:pPr>
              <w:jc w:val="center"/>
              <w:rPr>
                <w:color w:val="auto"/>
                <w:highlight w:val="none"/>
              </w:rPr>
            </w:pPr>
          </w:p>
        </w:tc>
        <w:tc>
          <w:tcPr>
            <w:tcW w:w="1656" w:type="dxa"/>
            <w:vAlign w:val="center"/>
          </w:tcPr>
          <w:p>
            <w:pPr>
              <w:widowControl/>
              <w:jc w:val="center"/>
              <w:textAlignment w:val="center"/>
              <w:rPr>
                <w:color w:val="auto"/>
                <w:highlight w:val="none"/>
              </w:rPr>
            </w:pPr>
            <w:r>
              <w:rPr>
                <w:rFonts w:hint="eastAsia" w:ascii="宋体" w:hAnsi="宋体" w:eastAsia="宋体" w:cs="宋体"/>
                <w:i w:val="0"/>
                <w:color w:val="auto"/>
                <w:kern w:val="0"/>
                <w:sz w:val="24"/>
                <w:szCs w:val="24"/>
                <w:highlight w:val="none"/>
                <w:u w:val="none"/>
                <w:lang w:val="en-US" w:eastAsia="zh-CN"/>
              </w:rPr>
              <w:t>生态环境影响</w:t>
            </w:r>
          </w:p>
        </w:tc>
        <w:tc>
          <w:tcPr>
            <w:tcW w:w="1281" w:type="dxa"/>
            <w:vMerge w:val="continue"/>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7691" w:type="dxa"/>
            <w:gridSpan w:val="6"/>
            <w:vMerge w:val="continue"/>
            <w:vAlign w:val="center"/>
          </w:tcPr>
          <w:p>
            <w:pPr>
              <w:rPr>
                <w:rFonts w:hint="eastAsia" w:ascii="宋体" w:hAnsi="宋体" w:eastAsia="宋体" w:cs="宋体"/>
                <w:i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55" w:type="dxa"/>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655" w:type="dxa"/>
            <w:vAlign w:val="center"/>
          </w:tcPr>
          <w:p>
            <w:pPr>
              <w:jc w:val="center"/>
              <w:rPr>
                <w:color w:val="auto"/>
                <w:highlight w:val="none"/>
              </w:rPr>
            </w:pPr>
          </w:p>
        </w:tc>
        <w:tc>
          <w:tcPr>
            <w:tcW w:w="1656" w:type="dxa"/>
            <w:vAlign w:val="center"/>
          </w:tcPr>
          <w:p>
            <w:pPr>
              <w:jc w:val="center"/>
              <w:rPr>
                <w:color w:val="auto"/>
                <w:highlight w:val="none"/>
              </w:rPr>
            </w:pPr>
          </w:p>
        </w:tc>
        <w:tc>
          <w:tcPr>
            <w:tcW w:w="1281" w:type="dxa"/>
            <w:vAlign w:val="center"/>
          </w:tcPr>
          <w:p>
            <w:pPr>
              <w:jc w:val="center"/>
              <w:rPr>
                <w:rFonts w:hint="eastAsia" w:ascii="宋体" w:hAnsi="宋体" w:eastAsia="宋体" w:cs="宋体"/>
                <w:b/>
                <w:i w:val="0"/>
                <w:color w:val="auto"/>
                <w:kern w:val="0"/>
                <w:sz w:val="24"/>
                <w:szCs w:val="24"/>
                <w:highlight w:val="none"/>
                <w:u w:val="none"/>
                <w:lang w:val="en-US" w:eastAsia="zh-CN"/>
              </w:rPr>
            </w:pPr>
          </w:p>
        </w:tc>
        <w:tc>
          <w:tcPr>
            <w:tcW w:w="1184" w:type="dxa"/>
            <w:vAlign w:val="center"/>
          </w:tcPr>
          <w:p>
            <w:pPr>
              <w:jc w:val="center"/>
              <w:rPr>
                <w:rFonts w:hint="eastAsia" w:ascii="宋体" w:hAnsi="宋体" w:eastAsia="宋体" w:cs="宋体"/>
                <w:i w:val="0"/>
                <w:color w:val="auto"/>
                <w:kern w:val="0"/>
                <w:sz w:val="24"/>
                <w:szCs w:val="24"/>
                <w:highlight w:val="none"/>
                <w:u w:val="none"/>
                <w:lang w:val="en-US" w:eastAsia="zh-CN"/>
              </w:rPr>
            </w:pPr>
          </w:p>
        </w:tc>
        <w:tc>
          <w:tcPr>
            <w:tcW w:w="1172" w:type="dxa"/>
            <w:vAlign w:val="center"/>
          </w:tcPr>
          <w:p>
            <w:pPr>
              <w:jc w:val="center"/>
              <w:rPr>
                <w:rFonts w:hint="eastAsia" w:ascii="宋体" w:hAnsi="宋体" w:eastAsia="宋体" w:cs="宋体"/>
                <w:i w:val="0"/>
                <w:color w:val="auto"/>
                <w:kern w:val="0"/>
                <w:sz w:val="24"/>
                <w:szCs w:val="24"/>
                <w:highlight w:val="none"/>
                <w:u w:val="none"/>
                <w:lang w:val="en-US" w:eastAsia="zh-CN"/>
              </w:rPr>
            </w:pPr>
          </w:p>
        </w:tc>
        <w:tc>
          <w:tcPr>
            <w:tcW w:w="1536" w:type="dxa"/>
            <w:vAlign w:val="center"/>
          </w:tcPr>
          <w:p>
            <w:pPr>
              <w:jc w:val="center"/>
              <w:rPr>
                <w:rFonts w:hint="eastAsia" w:ascii="宋体" w:hAnsi="宋体" w:eastAsia="宋体" w:cs="宋体"/>
                <w:i w:val="0"/>
                <w:color w:val="auto"/>
                <w:kern w:val="0"/>
                <w:sz w:val="24"/>
                <w:szCs w:val="24"/>
                <w:highlight w:val="none"/>
                <w:u w:val="none"/>
                <w:lang w:val="en-US" w:eastAsia="zh-CN"/>
              </w:rPr>
            </w:pPr>
          </w:p>
        </w:tc>
        <w:tc>
          <w:tcPr>
            <w:tcW w:w="1296" w:type="dxa"/>
            <w:vAlign w:val="center"/>
          </w:tcPr>
          <w:p>
            <w:pPr>
              <w:jc w:val="center"/>
              <w:rPr>
                <w:rFonts w:hint="eastAsia" w:ascii="宋体" w:hAnsi="宋体" w:eastAsia="宋体" w:cs="宋体"/>
                <w:i w:val="0"/>
                <w:color w:val="auto"/>
                <w:kern w:val="0"/>
                <w:sz w:val="24"/>
                <w:szCs w:val="24"/>
                <w:highlight w:val="none"/>
                <w:u w:val="none"/>
                <w:lang w:val="en-US" w:eastAsia="zh-CN"/>
              </w:rPr>
            </w:pPr>
          </w:p>
        </w:tc>
        <w:tc>
          <w:tcPr>
            <w:tcW w:w="1296" w:type="dxa"/>
            <w:vAlign w:val="center"/>
          </w:tcPr>
          <w:p>
            <w:pPr>
              <w:jc w:val="center"/>
              <w:rPr>
                <w:rFonts w:hint="eastAsia" w:ascii="宋体" w:hAnsi="宋体" w:eastAsia="宋体" w:cs="宋体"/>
                <w:i w:val="0"/>
                <w:color w:val="auto"/>
                <w:kern w:val="0"/>
                <w:sz w:val="24"/>
                <w:szCs w:val="24"/>
                <w:highlight w:val="none"/>
                <w:u w:val="none"/>
                <w:lang w:val="en-US" w:eastAsia="zh-CN"/>
              </w:rPr>
            </w:pPr>
          </w:p>
        </w:tc>
        <w:tc>
          <w:tcPr>
            <w:tcW w:w="1207" w:type="dxa"/>
            <w:vAlign w:val="center"/>
          </w:tcPr>
          <w:p>
            <w:pPr>
              <w:jc w:val="center"/>
              <w:rPr>
                <w:rFonts w:hint="eastAsia" w:ascii="宋体" w:hAnsi="宋体" w:eastAsia="宋体" w:cs="宋体"/>
                <w:i w:val="0"/>
                <w:color w:val="auto"/>
                <w:kern w:val="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966" w:type="dxa"/>
            <w:gridSpan w:val="3"/>
            <w:vAlign w:val="center"/>
          </w:tcPr>
          <w:p>
            <w:pPr>
              <w:widowControl/>
              <w:jc w:val="center"/>
              <w:textAlignment w:val="center"/>
              <w:rPr>
                <w:color w:val="auto"/>
                <w:highlight w:val="none"/>
              </w:rPr>
            </w:pPr>
            <w:r>
              <w:rPr>
                <w:rFonts w:hint="eastAsia" w:ascii="宋体" w:hAnsi="宋体" w:eastAsia="宋体" w:cs="宋体"/>
                <w:b/>
                <w:i w:val="0"/>
                <w:color w:val="auto"/>
                <w:kern w:val="0"/>
                <w:sz w:val="24"/>
                <w:szCs w:val="24"/>
                <w:highlight w:val="none"/>
                <w:u w:val="none"/>
                <w:lang w:val="en-US" w:eastAsia="zh-CN"/>
              </w:rPr>
              <w:t>合计</w:t>
            </w:r>
          </w:p>
        </w:tc>
        <w:tc>
          <w:tcPr>
            <w:tcW w:w="1281" w:type="dxa"/>
            <w:vAlign w:val="center"/>
          </w:tcPr>
          <w:p>
            <w:pPr>
              <w:widowControl/>
              <w:jc w:val="center"/>
              <w:textAlignment w:val="center"/>
              <w:rPr>
                <w:rFonts w:hint="eastAsia" w:ascii="宋体" w:hAnsi="宋体" w:eastAsia="宋体" w:cs="宋体"/>
                <w:b/>
                <w:i w:val="0"/>
                <w:color w:val="auto"/>
                <w:kern w:val="0"/>
                <w:sz w:val="24"/>
                <w:szCs w:val="24"/>
                <w:highlight w:val="none"/>
                <w:u w:val="none"/>
                <w:lang w:val="en-US" w:eastAsia="zh-CN"/>
              </w:rPr>
            </w:pPr>
            <w:r>
              <w:rPr>
                <w:rFonts w:hint="eastAsia" w:ascii="宋体" w:hAnsi="宋体" w:eastAsia="宋体" w:cs="宋体"/>
                <w:b/>
                <w:i w:val="0"/>
                <w:color w:val="auto"/>
                <w:kern w:val="0"/>
                <w:sz w:val="24"/>
                <w:szCs w:val="24"/>
                <w:highlight w:val="none"/>
                <w:u w:val="none"/>
                <w:lang w:val="en-US" w:eastAsia="zh-CN"/>
              </w:rPr>
              <w:t>100</w:t>
            </w:r>
          </w:p>
        </w:tc>
        <w:tc>
          <w:tcPr>
            <w:tcW w:w="7691" w:type="dxa"/>
            <w:gridSpan w:val="6"/>
            <w:vAlign w:val="center"/>
          </w:tcPr>
          <w:p>
            <w:pPr>
              <w:jc w:val="center"/>
              <w:rPr>
                <w:rFonts w:hint="eastAsia" w:ascii="宋体" w:hAnsi="宋体" w:eastAsia="宋体" w:cs="宋体"/>
                <w:i w:val="0"/>
                <w:color w:val="auto"/>
                <w:kern w:val="0"/>
                <w:sz w:val="24"/>
                <w:szCs w:val="24"/>
                <w:highlight w:val="none"/>
                <w:u w:val="none"/>
                <w:lang w:val="en-US" w:eastAsia="zh-CN"/>
              </w:rPr>
            </w:pPr>
          </w:p>
        </w:tc>
      </w:tr>
    </w:tbl>
    <w:p>
      <w:pPr>
        <w:pStyle w:val="2"/>
        <w:rPr>
          <w:rFonts w:hint="default"/>
          <w:color w:val="auto"/>
          <w:highlight w:val="none"/>
          <w:lang w:val="en-US" w:eastAsia="zh-CN"/>
        </w:rPr>
      </w:pPr>
    </w:p>
    <w:sectPr>
      <w:pgSz w:w="16783" w:h="23757"/>
      <w:pgMar w:top="1417" w:right="1474" w:bottom="1417" w:left="1587" w:header="851"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48532399">
    <w:nsid w:val="E563F1AF"/>
    <w:multiLevelType w:val="singleLevel"/>
    <w:tmpl w:val="E563F1AF"/>
    <w:lvl w:ilvl="0" w:tentative="1">
      <w:start w:val="5"/>
      <w:numFmt w:val="chineseCounting"/>
      <w:suff w:val="space"/>
      <w:lvlText w:val="第%1条"/>
      <w:lvlJc w:val="left"/>
      <w:rPr>
        <w:rFonts w:hint="eastAsia"/>
        <w:b/>
        <w:bCs/>
      </w:rPr>
    </w:lvl>
  </w:abstractNum>
  <w:num w:numId="1">
    <w:abstractNumId w:val="38485323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FmNzVhMDU4M2I5YjI1MWU3NGNiYWQ1MzUzNzRjZjgifQ=="/>
  </w:docVars>
  <w:rsids>
    <w:rsidRoot w:val="56D87B1F"/>
    <w:rsid w:val="001A7969"/>
    <w:rsid w:val="00382DEE"/>
    <w:rsid w:val="00662264"/>
    <w:rsid w:val="01CC35D1"/>
    <w:rsid w:val="0330769D"/>
    <w:rsid w:val="03777F08"/>
    <w:rsid w:val="0385634A"/>
    <w:rsid w:val="03957EC1"/>
    <w:rsid w:val="03F76759"/>
    <w:rsid w:val="0433224A"/>
    <w:rsid w:val="0521167B"/>
    <w:rsid w:val="054B5C64"/>
    <w:rsid w:val="05774056"/>
    <w:rsid w:val="06006999"/>
    <w:rsid w:val="06E71D37"/>
    <w:rsid w:val="07504EC1"/>
    <w:rsid w:val="086A0535"/>
    <w:rsid w:val="088648AE"/>
    <w:rsid w:val="089805D5"/>
    <w:rsid w:val="08E049BC"/>
    <w:rsid w:val="09A45035"/>
    <w:rsid w:val="09D276E2"/>
    <w:rsid w:val="0A552520"/>
    <w:rsid w:val="0A55285C"/>
    <w:rsid w:val="0ADA51CD"/>
    <w:rsid w:val="0B7F1085"/>
    <w:rsid w:val="0B826015"/>
    <w:rsid w:val="0C665D6D"/>
    <w:rsid w:val="0C923562"/>
    <w:rsid w:val="0CA75972"/>
    <w:rsid w:val="0CD86119"/>
    <w:rsid w:val="0D4F61B9"/>
    <w:rsid w:val="0D6270C2"/>
    <w:rsid w:val="0D7C07BE"/>
    <w:rsid w:val="0DA038B3"/>
    <w:rsid w:val="0EC66ABD"/>
    <w:rsid w:val="0ED95707"/>
    <w:rsid w:val="0F3C68A1"/>
    <w:rsid w:val="0FF6114A"/>
    <w:rsid w:val="101A2BA5"/>
    <w:rsid w:val="10574DEB"/>
    <w:rsid w:val="1066305F"/>
    <w:rsid w:val="113C2D37"/>
    <w:rsid w:val="11804CE9"/>
    <w:rsid w:val="11BA1147"/>
    <w:rsid w:val="13152F7E"/>
    <w:rsid w:val="131D78BE"/>
    <w:rsid w:val="1378752A"/>
    <w:rsid w:val="13B566D0"/>
    <w:rsid w:val="13BE6A17"/>
    <w:rsid w:val="13DC1FB6"/>
    <w:rsid w:val="13E83CFB"/>
    <w:rsid w:val="13F99A00"/>
    <w:rsid w:val="14310433"/>
    <w:rsid w:val="14406B2B"/>
    <w:rsid w:val="14971EBE"/>
    <w:rsid w:val="15D679CF"/>
    <w:rsid w:val="16D50F3F"/>
    <w:rsid w:val="17C05A2B"/>
    <w:rsid w:val="184F7BC6"/>
    <w:rsid w:val="18B42C62"/>
    <w:rsid w:val="190B0505"/>
    <w:rsid w:val="1928368D"/>
    <w:rsid w:val="199649B5"/>
    <w:rsid w:val="199E386A"/>
    <w:rsid w:val="1A6E148E"/>
    <w:rsid w:val="1ABF1CEA"/>
    <w:rsid w:val="1AF65D73"/>
    <w:rsid w:val="1AFBFEC0"/>
    <w:rsid w:val="1BF92DAD"/>
    <w:rsid w:val="1C084437"/>
    <w:rsid w:val="1C0F56CC"/>
    <w:rsid w:val="1D0C75FE"/>
    <w:rsid w:val="1D2B3DED"/>
    <w:rsid w:val="1D7B48E1"/>
    <w:rsid w:val="1E062EE0"/>
    <w:rsid w:val="1E723DC4"/>
    <w:rsid w:val="1EE91FBF"/>
    <w:rsid w:val="1F470657"/>
    <w:rsid w:val="1FA15E62"/>
    <w:rsid w:val="208F7FC0"/>
    <w:rsid w:val="20E00C0C"/>
    <w:rsid w:val="213C22E6"/>
    <w:rsid w:val="216A076B"/>
    <w:rsid w:val="22724761"/>
    <w:rsid w:val="22F73DC9"/>
    <w:rsid w:val="230002D2"/>
    <w:rsid w:val="232D6F5D"/>
    <w:rsid w:val="238C474C"/>
    <w:rsid w:val="23DA7B95"/>
    <w:rsid w:val="244B6AD7"/>
    <w:rsid w:val="25560C10"/>
    <w:rsid w:val="257D2C18"/>
    <w:rsid w:val="26211590"/>
    <w:rsid w:val="26923B7F"/>
    <w:rsid w:val="26B15148"/>
    <w:rsid w:val="272E6D31"/>
    <w:rsid w:val="27A83334"/>
    <w:rsid w:val="28BF0563"/>
    <w:rsid w:val="28DE1ED5"/>
    <w:rsid w:val="296B5DC2"/>
    <w:rsid w:val="29922BAD"/>
    <w:rsid w:val="29E97BA4"/>
    <w:rsid w:val="2A075370"/>
    <w:rsid w:val="2AA168F3"/>
    <w:rsid w:val="2AA25843"/>
    <w:rsid w:val="2B8F395A"/>
    <w:rsid w:val="2BA87B0B"/>
    <w:rsid w:val="2BE8382E"/>
    <w:rsid w:val="2C2C73FB"/>
    <w:rsid w:val="2C5941DA"/>
    <w:rsid w:val="2C6B1F6C"/>
    <w:rsid w:val="2CF55D49"/>
    <w:rsid w:val="2DD32012"/>
    <w:rsid w:val="2E243B05"/>
    <w:rsid w:val="2ECB4CA9"/>
    <w:rsid w:val="2ED54E09"/>
    <w:rsid w:val="2F023872"/>
    <w:rsid w:val="2F1332E5"/>
    <w:rsid w:val="2F2C457E"/>
    <w:rsid w:val="2F2F5238"/>
    <w:rsid w:val="2FCC3004"/>
    <w:rsid w:val="303C5AC2"/>
    <w:rsid w:val="309E4894"/>
    <w:rsid w:val="330A6447"/>
    <w:rsid w:val="333A49B1"/>
    <w:rsid w:val="339E60CD"/>
    <w:rsid w:val="33BE6B8B"/>
    <w:rsid w:val="34847989"/>
    <w:rsid w:val="34983587"/>
    <w:rsid w:val="35E70447"/>
    <w:rsid w:val="364F6183"/>
    <w:rsid w:val="36B454CA"/>
    <w:rsid w:val="372B4021"/>
    <w:rsid w:val="375810A4"/>
    <w:rsid w:val="38107BD1"/>
    <w:rsid w:val="38FC1AA0"/>
    <w:rsid w:val="396648EC"/>
    <w:rsid w:val="3A34430B"/>
    <w:rsid w:val="3A683CF4"/>
    <w:rsid w:val="3BF32330"/>
    <w:rsid w:val="3D13447D"/>
    <w:rsid w:val="3D2A5291"/>
    <w:rsid w:val="3EA218E1"/>
    <w:rsid w:val="3EC32267"/>
    <w:rsid w:val="3F0324C4"/>
    <w:rsid w:val="3FBC5158"/>
    <w:rsid w:val="3FC16992"/>
    <w:rsid w:val="4000748B"/>
    <w:rsid w:val="40526FD9"/>
    <w:rsid w:val="40921B5C"/>
    <w:rsid w:val="414215CC"/>
    <w:rsid w:val="41C12FB2"/>
    <w:rsid w:val="425C3D67"/>
    <w:rsid w:val="432B19E3"/>
    <w:rsid w:val="43376189"/>
    <w:rsid w:val="433C5D1E"/>
    <w:rsid w:val="43851473"/>
    <w:rsid w:val="439434A5"/>
    <w:rsid w:val="43E447BF"/>
    <w:rsid w:val="44666E78"/>
    <w:rsid w:val="44CB27B1"/>
    <w:rsid w:val="45B95398"/>
    <w:rsid w:val="45C52A6A"/>
    <w:rsid w:val="45EE0BDA"/>
    <w:rsid w:val="46B300A5"/>
    <w:rsid w:val="478040C9"/>
    <w:rsid w:val="48203A55"/>
    <w:rsid w:val="4913057E"/>
    <w:rsid w:val="49156B9E"/>
    <w:rsid w:val="49382AE4"/>
    <w:rsid w:val="4A2E1B1F"/>
    <w:rsid w:val="4B58121B"/>
    <w:rsid w:val="4BBA3C84"/>
    <w:rsid w:val="4C401D3E"/>
    <w:rsid w:val="4CB15D1C"/>
    <w:rsid w:val="4CBA4F64"/>
    <w:rsid w:val="4CFE2B9B"/>
    <w:rsid w:val="4D7ADE18"/>
    <w:rsid w:val="4DAB5F7A"/>
    <w:rsid w:val="4E0336C0"/>
    <w:rsid w:val="4E313DB3"/>
    <w:rsid w:val="4E524648"/>
    <w:rsid w:val="4E778725"/>
    <w:rsid w:val="4E9A06AA"/>
    <w:rsid w:val="4EE04532"/>
    <w:rsid w:val="4EF53787"/>
    <w:rsid w:val="4FB721C6"/>
    <w:rsid w:val="4FEC087A"/>
    <w:rsid w:val="502C2AED"/>
    <w:rsid w:val="5037550A"/>
    <w:rsid w:val="50574197"/>
    <w:rsid w:val="50874A7C"/>
    <w:rsid w:val="508F4072"/>
    <w:rsid w:val="50D70E34"/>
    <w:rsid w:val="50DB6B76"/>
    <w:rsid w:val="51263CA3"/>
    <w:rsid w:val="512D78DC"/>
    <w:rsid w:val="514940B1"/>
    <w:rsid w:val="51D33CF1"/>
    <w:rsid w:val="51EA3662"/>
    <w:rsid w:val="521A547C"/>
    <w:rsid w:val="52260F6E"/>
    <w:rsid w:val="528B1A2F"/>
    <w:rsid w:val="52ED0DE3"/>
    <w:rsid w:val="543D6CB1"/>
    <w:rsid w:val="54AA6F8B"/>
    <w:rsid w:val="54F961C4"/>
    <w:rsid w:val="55D67FF7"/>
    <w:rsid w:val="56316EE0"/>
    <w:rsid w:val="56D87B1F"/>
    <w:rsid w:val="57A21498"/>
    <w:rsid w:val="58C1460F"/>
    <w:rsid w:val="592272AD"/>
    <w:rsid w:val="59335ABA"/>
    <w:rsid w:val="597B34B5"/>
    <w:rsid w:val="59E72CA7"/>
    <w:rsid w:val="5AFE3B8D"/>
    <w:rsid w:val="5B101B12"/>
    <w:rsid w:val="5B91577F"/>
    <w:rsid w:val="5B963993"/>
    <w:rsid w:val="5BB46BD5"/>
    <w:rsid w:val="5C6439D1"/>
    <w:rsid w:val="5C91317D"/>
    <w:rsid w:val="5D6F272E"/>
    <w:rsid w:val="5DA84256"/>
    <w:rsid w:val="5DE2588C"/>
    <w:rsid w:val="5DFB0BE7"/>
    <w:rsid w:val="5E3B2C2C"/>
    <w:rsid w:val="5EF01A3F"/>
    <w:rsid w:val="5F4CCE4D"/>
    <w:rsid w:val="604A0030"/>
    <w:rsid w:val="6053601C"/>
    <w:rsid w:val="60B116A2"/>
    <w:rsid w:val="612C0D28"/>
    <w:rsid w:val="629F5867"/>
    <w:rsid w:val="63E96592"/>
    <w:rsid w:val="63F316FD"/>
    <w:rsid w:val="64882803"/>
    <w:rsid w:val="648F2712"/>
    <w:rsid w:val="64A71B53"/>
    <w:rsid w:val="64AB443F"/>
    <w:rsid w:val="64E536C8"/>
    <w:rsid w:val="65B349E3"/>
    <w:rsid w:val="66986D5A"/>
    <w:rsid w:val="66C20165"/>
    <w:rsid w:val="66FE6C22"/>
    <w:rsid w:val="677BE93A"/>
    <w:rsid w:val="67A72395"/>
    <w:rsid w:val="686D4100"/>
    <w:rsid w:val="689C44EF"/>
    <w:rsid w:val="69354294"/>
    <w:rsid w:val="697F058F"/>
    <w:rsid w:val="69871EDA"/>
    <w:rsid w:val="69A771F5"/>
    <w:rsid w:val="69F0323B"/>
    <w:rsid w:val="6A0F49C4"/>
    <w:rsid w:val="6A3A6264"/>
    <w:rsid w:val="6A470981"/>
    <w:rsid w:val="6AB40952"/>
    <w:rsid w:val="6B3B299E"/>
    <w:rsid w:val="6BE826D8"/>
    <w:rsid w:val="6BF82CEA"/>
    <w:rsid w:val="6C2216A6"/>
    <w:rsid w:val="6C620B69"/>
    <w:rsid w:val="6CBB3B13"/>
    <w:rsid w:val="6CDE1F0E"/>
    <w:rsid w:val="6CF05300"/>
    <w:rsid w:val="6D3C59A8"/>
    <w:rsid w:val="6D6F3D1B"/>
    <w:rsid w:val="6DF947B3"/>
    <w:rsid w:val="6DF9765E"/>
    <w:rsid w:val="6E7733BC"/>
    <w:rsid w:val="6F382A41"/>
    <w:rsid w:val="6FB81823"/>
    <w:rsid w:val="712C2F77"/>
    <w:rsid w:val="71DC0B0E"/>
    <w:rsid w:val="723D57F3"/>
    <w:rsid w:val="723D5E69"/>
    <w:rsid w:val="727F39E9"/>
    <w:rsid w:val="72DEE224"/>
    <w:rsid w:val="73CF344E"/>
    <w:rsid w:val="73F456D6"/>
    <w:rsid w:val="74E3645A"/>
    <w:rsid w:val="757C1E26"/>
    <w:rsid w:val="75A21FF9"/>
    <w:rsid w:val="761B7DAD"/>
    <w:rsid w:val="764379F3"/>
    <w:rsid w:val="769B54C8"/>
    <w:rsid w:val="76DE173B"/>
    <w:rsid w:val="77AF6499"/>
    <w:rsid w:val="77BB0620"/>
    <w:rsid w:val="77BE6726"/>
    <w:rsid w:val="77C27899"/>
    <w:rsid w:val="7833737D"/>
    <w:rsid w:val="78B61960"/>
    <w:rsid w:val="78E268EA"/>
    <w:rsid w:val="79B723A7"/>
    <w:rsid w:val="79CD4D87"/>
    <w:rsid w:val="79F53F55"/>
    <w:rsid w:val="7A8D6248"/>
    <w:rsid w:val="7AA17C39"/>
    <w:rsid w:val="7B75534E"/>
    <w:rsid w:val="7B8424F0"/>
    <w:rsid w:val="7BBE009C"/>
    <w:rsid w:val="7BBEEFC0"/>
    <w:rsid w:val="7BFFBC13"/>
    <w:rsid w:val="7DA40C8C"/>
    <w:rsid w:val="7DBFB476"/>
    <w:rsid w:val="7DC817A8"/>
    <w:rsid w:val="7DEF7B06"/>
    <w:rsid w:val="7E593BD6"/>
    <w:rsid w:val="7E953F59"/>
    <w:rsid w:val="7EFD1F6E"/>
    <w:rsid w:val="7F3F7A5A"/>
    <w:rsid w:val="7F581404"/>
    <w:rsid w:val="7F6E2EFD"/>
    <w:rsid w:val="7F9A6B74"/>
    <w:rsid w:val="AF6F17A0"/>
    <w:rsid w:val="B14F4ABC"/>
    <w:rsid w:val="BE7B8A43"/>
    <w:rsid w:val="BEB30C3E"/>
    <w:rsid w:val="BFFFA7D3"/>
    <w:rsid w:val="D3DB7C02"/>
    <w:rsid w:val="DBFB39D0"/>
    <w:rsid w:val="DCFFF1D9"/>
    <w:rsid w:val="DFFDB781"/>
    <w:rsid w:val="F0DBA25D"/>
    <w:rsid w:val="F3FE1F6A"/>
    <w:rsid w:val="F7FD8204"/>
    <w:rsid w:val="FDEF7AB7"/>
    <w:rsid w:val="FFF7BFA3"/>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Style w:val="12"/>
      <w:tblLayout w:type="fixed"/>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pPr>
    <w:rPr>
      <w:rFonts w:ascii="Calibri" w:eastAsia="宋体"/>
      <w:sz w:val="21"/>
      <w:szCs w:val="22"/>
    </w:rPr>
  </w:style>
  <w:style w:type="paragraph" w:customStyle="1" w:styleId="3">
    <w:name w:val="BodyTextIndent"/>
    <w:basedOn w:val="1"/>
    <w:qFormat/>
    <w:uiPriority w:val="0"/>
    <w:pPr>
      <w:ind w:firstLine="540"/>
      <w:textAlignment w:val="baseline"/>
    </w:pPr>
    <w:rPr>
      <w:rFonts w:ascii="仿宋_GB2312" w:hAnsi="Calibri" w:eastAsia="仿宋_GB2312"/>
      <w:sz w:val="30"/>
      <w:szCs w:val="24"/>
    </w:r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 w:type="character" w:styleId="10">
    <w:name w:val="Strong"/>
    <w:basedOn w:val="9"/>
    <w:qFormat/>
    <w:uiPriority w:val="0"/>
    <w:rPr>
      <w:b/>
    </w:rPr>
  </w:style>
  <w:style w:type="character" w:styleId="11">
    <w:name w:val="footnote reference"/>
    <w:basedOn w:val="9"/>
    <w:qFormat/>
    <w:uiPriority w:val="0"/>
    <w:rPr>
      <w:vertAlign w:val="superscript"/>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qFormat/>
    <w:uiPriority w:val="0"/>
    <w:pPr>
      <w:ind w:firstLine="420" w:firstLineChars="200"/>
    </w:pPr>
  </w:style>
  <w:style w:type="character" w:customStyle="1" w:styleId="15">
    <w:name w:val="font11"/>
    <w:basedOn w:val="9"/>
    <w:qFormat/>
    <w:uiPriority w:val="0"/>
    <w:rPr>
      <w:rFonts w:ascii="font-weight : 400" w:hAnsi="font-weight : 400" w:eastAsia="font-weight : 400" w:cs="font-weight : 400"/>
      <w:color w:val="000000"/>
      <w:sz w:val="24"/>
      <w:szCs w:val="24"/>
      <w:u w:val="none"/>
    </w:rPr>
  </w:style>
  <w:style w:type="character" w:customStyle="1" w:styleId="16">
    <w:name w:val="font01"/>
    <w:basedOn w:val="9"/>
    <w:qFormat/>
    <w:uiPriority w:val="0"/>
    <w:rPr>
      <w:rFonts w:hint="default" w:ascii="font-weight : 400" w:hAnsi="font-weight : 400" w:eastAsia="font-weight : 400" w:cs="font-weight : 400"/>
      <w:color w:val="000000"/>
      <w:sz w:val="24"/>
      <w:szCs w:val="24"/>
      <w:u w:val="single"/>
    </w:rPr>
  </w:style>
  <w:style w:type="character" w:customStyle="1" w:styleId="17">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1986</Words>
  <Characters>2016</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2021-05-03T03:04:00Z</dcterms:created>
  <dc:creator>Administrator</dc:creator>
  <cp:lastModifiedBy>Administrator</cp:lastModifiedBy>
  <cp:lastPrinted>2024-06-15T13:52:00Z</cp:lastPrinted>
  <dcterms:modified xsi:type="dcterms:W3CDTF">2024-06-24T07:49:07Z</dcterms:modified>
  <dc:title>三亚市旅游文化体育大型活动资金管理</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6337541156AD428186D265F83E0E38B2_13</vt:lpwstr>
  </property>
</Properties>
</file>