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79" w:lineRule="exac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9" w:lineRule="exact"/>
        <w:jc w:val="center"/>
        <w:textAlignment w:val="auto"/>
        <w:rPr>
          <w:rFonts w:hint="eastAsia" w:ascii="黑体" w:hAnsi="黑体" w:eastAsia="黑体" w:cs="方正小标宋简体"/>
          <w:bCs/>
          <w:sz w:val="52"/>
          <w:szCs w:val="5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9" w:lineRule="exact"/>
        <w:jc w:val="center"/>
        <w:textAlignment w:val="auto"/>
        <w:rPr>
          <w:rFonts w:hint="eastAsia" w:ascii="黑体" w:hAnsi="黑体" w:eastAsia="黑体" w:cs="方正小标宋简体"/>
          <w:bCs/>
          <w:sz w:val="52"/>
          <w:szCs w:val="5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9" w:lineRule="exact"/>
        <w:jc w:val="center"/>
        <w:textAlignment w:val="auto"/>
        <w:rPr>
          <w:rFonts w:hint="eastAsia" w:ascii="黑体" w:hAnsi="黑体" w:eastAsia="黑体" w:cs="方正小标宋简体"/>
          <w:bCs/>
          <w:sz w:val="44"/>
          <w:szCs w:val="44"/>
        </w:rPr>
      </w:pPr>
      <w:r>
        <w:rPr>
          <w:rFonts w:hint="eastAsia" w:ascii="黑体" w:hAnsi="黑体" w:eastAsia="黑体" w:cs="方正小标宋简体"/>
          <w:bCs/>
          <w:sz w:val="44"/>
          <w:szCs w:val="44"/>
        </w:rPr>
        <w:t>三亚市旅游资源摸底调查与评价</w:t>
      </w:r>
      <w:r>
        <w:rPr>
          <w:rFonts w:hint="eastAsia" w:ascii="黑体" w:hAnsi="黑体" w:eastAsia="黑体" w:cs="方正小标宋简体"/>
          <w:bCs/>
          <w:sz w:val="44"/>
          <w:szCs w:val="44"/>
          <w:lang w:val="en-US" w:eastAsia="zh-CN"/>
        </w:rPr>
        <w:t>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0"/>
          <w:szCs w:val="36"/>
        </w:rPr>
      </w:pPr>
      <w:r>
        <w:rPr>
          <w:rFonts w:hint="eastAsia" w:ascii="黑体" w:hAnsi="黑体" w:eastAsia="黑体" w:cs="方正小标宋简体"/>
          <w:bCs/>
          <w:sz w:val="44"/>
          <w:szCs w:val="44"/>
          <w:lang w:val="en-US" w:eastAsia="zh-CN"/>
        </w:rPr>
        <w:t>工作方案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0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9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sz w:val="40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0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6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6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6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6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6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79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sz w:val="36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79" w:lineRule="exact"/>
        <w:jc w:val="center"/>
        <w:textAlignment w:val="auto"/>
        <w:rPr>
          <w:rFonts w:hint="eastAsia" w:ascii="仿宋" w:hAnsi="仿宋" w:eastAsia="仿宋" w:cs="仿宋"/>
          <w:b/>
          <w:sz w:val="36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79" w:lineRule="exact"/>
        <w:jc w:val="center"/>
        <w:textAlignment w:val="auto"/>
        <w:rPr>
          <w:rFonts w:hint="eastAsia" w:ascii="仿宋" w:hAnsi="仿宋" w:eastAsia="仿宋" w:cs="仿宋"/>
          <w:b/>
          <w:sz w:val="36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79" w:lineRule="exact"/>
        <w:jc w:val="center"/>
        <w:textAlignment w:val="auto"/>
        <w:rPr>
          <w:rFonts w:hint="eastAsia" w:ascii="仿宋" w:hAnsi="仿宋" w:eastAsia="仿宋" w:cs="仿宋"/>
          <w:b/>
          <w:sz w:val="36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79" w:lineRule="exact"/>
        <w:jc w:val="center"/>
        <w:textAlignment w:val="auto"/>
        <w:rPr>
          <w:rFonts w:hint="eastAsia" w:ascii="仿宋" w:hAnsi="仿宋" w:eastAsia="仿宋" w:cs="仿宋"/>
          <w:b/>
          <w:sz w:val="36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79" w:lineRule="exact"/>
        <w:jc w:val="center"/>
        <w:textAlignment w:val="auto"/>
        <w:rPr>
          <w:rFonts w:hint="eastAsia" w:ascii="仿宋" w:hAnsi="仿宋" w:eastAsia="仿宋" w:cs="仿宋"/>
          <w:b/>
          <w:sz w:val="36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79" w:lineRule="exact"/>
        <w:jc w:val="center"/>
        <w:textAlignment w:val="auto"/>
        <w:rPr>
          <w:rFonts w:hint="eastAsia" w:ascii="仿宋" w:hAnsi="仿宋" w:eastAsia="仿宋" w:cs="仿宋"/>
          <w:b/>
          <w:sz w:val="36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79" w:lineRule="exact"/>
        <w:jc w:val="center"/>
        <w:textAlignment w:val="auto"/>
        <w:rPr>
          <w:rFonts w:hint="eastAsia" w:ascii="仿宋" w:hAnsi="仿宋" w:eastAsia="仿宋" w:cs="仿宋"/>
          <w:b/>
          <w:sz w:val="36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sz w:val="36"/>
          <w:szCs w:val="32"/>
          <w:highlight w:val="none"/>
          <w:lang w:val="en-US" w:eastAsia="zh-CN"/>
        </w:rPr>
        <w:t>三亚市旅游和文化广电体育局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79" w:lineRule="exact"/>
        <w:jc w:val="center"/>
        <w:textAlignment w:val="auto"/>
        <w:rPr>
          <w:rFonts w:ascii="仿宋" w:hAnsi="仿宋" w:eastAsia="仿宋"/>
          <w:b/>
          <w:bCs/>
          <w:sz w:val="36"/>
          <w:szCs w:val="36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3" w:bottom="1440" w:left="1803" w:header="851" w:footer="907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eastAsia" w:ascii="仿宋" w:hAnsi="仿宋" w:eastAsia="仿宋"/>
          <w:b/>
          <w:bCs/>
          <w:sz w:val="36"/>
          <w:szCs w:val="36"/>
        </w:rPr>
        <w:t>2021年</w:t>
      </w: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11</w:t>
      </w:r>
      <w:r>
        <w:rPr>
          <w:rFonts w:hint="eastAsia" w:ascii="仿宋" w:hAnsi="仿宋" w:eastAsia="仿宋"/>
          <w:b/>
          <w:bCs/>
          <w:sz w:val="36"/>
          <w:szCs w:val="36"/>
        </w:rPr>
        <w:t>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0" w:firstLineChars="200"/>
        <w:textAlignment w:val="auto"/>
        <w:outlineLvl w:val="0"/>
        <w:rPr>
          <w:rFonts w:hint="eastAsia" w:ascii="黑体" w:hAnsi="黑体" w:eastAsia="黑体" w:cs="仿宋"/>
          <w:color w:val="191919"/>
          <w:kern w:val="2"/>
          <w:sz w:val="32"/>
          <w:szCs w:val="32"/>
          <w:shd w:val="clear" w:color="auto" w:fill="FFFFFF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仿宋"/>
          <w:color w:val="191919"/>
          <w:kern w:val="2"/>
          <w:sz w:val="32"/>
          <w:szCs w:val="32"/>
          <w:shd w:val="clear" w:color="auto" w:fill="FFFFFF"/>
          <w:lang w:val="en-US" w:eastAsia="zh-CN" w:bidi="ar-SA"/>
        </w:rPr>
        <w:t>一、项目背景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579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旅游资源是旅游业发展的基础。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三亚市作为中国最南端的热带滨海旅游城市，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旅游资源非常丰富,具有广阔的开发前景,在旅游研究、区域开发、资源保护等各方面应用广泛。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579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为深入贯彻习近平总书记“4.13”重要讲话和中央12号文件精神，精准对标海南自由贸易港建设、特别是国际旅游消费中心战略定位要求，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为三亚市早日实现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沈晓明书记“在国际旅游消费中心建设中当好主力军”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的目标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系统全面梳理三亚市现有旅游资源，特别是水域景观资源，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把旅游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资源的分类、调查及评价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作为旅游工作的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重点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，抢抓自贸港建设重大机遇，把自贸港和国际旅游消费中心建设的利好政策用足用好，厘清目前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三亚旅游资源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现状，有力支撑和强化对旅游资源及其开发利用,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为三亚市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旅游资源开发与保护、旅游规划与项目建设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旅游行业管理与旅游法规建设、旅游资源信息管理与开发利用等方面的工作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提供底数支持，特开展本次三亚市旅游资源摸底调查与评价项目。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0" w:firstLineChars="200"/>
        <w:textAlignment w:val="auto"/>
        <w:outlineLvl w:val="0"/>
        <w:rPr>
          <w:rFonts w:hint="eastAsia" w:ascii="黑体" w:hAnsi="黑体" w:eastAsia="黑体" w:cs="仿宋"/>
          <w:color w:val="191919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仿宋"/>
          <w:color w:val="191919"/>
          <w:kern w:val="2"/>
          <w:sz w:val="32"/>
          <w:szCs w:val="32"/>
          <w:shd w:val="clear" w:color="auto" w:fill="FFFFFF"/>
          <w:lang w:val="en-US" w:eastAsia="zh-CN" w:bidi="ar-SA"/>
        </w:rPr>
        <w:t>二、调研目标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579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旨在综合对照国家及海南省对于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旅游资源分类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标准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，立足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三亚市旅游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发展实际，分层分类采用定性与定量、动态与静态、调查与访谈相结合的方法，积极组织开展第三方摸底调查，得出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三亚市旅游资源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现状底数。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系统厘清三亚旅游资源的主类、亚类、基本类型的现状，重点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聚焦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水域景观资源禀赋及情况，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准确把握新时代对旅游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资源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的更高要求，全力推动探索建立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三亚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旅游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资源体系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开创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三亚市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旅游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发展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新局面。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579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一是摸清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三亚各类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旅游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资源，尤其是水域景观资源的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现状，厘清各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类资源开发利用过程中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存在的优秀做法和经验以及不足与可提升改造之处；二是聚焦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各类资源现存的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问题和不同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区域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总体发展情况，力图为实现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旅游资源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水平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全面提升提供政策指导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三是通过厘清三亚现有旅游资源禀赋，为推动三亚旅游高质量发展、高水平布局规划及高标准创建国家全域旅游示范市提供数据支持，力争从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总体上提高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三亚旅游发展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水平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助力三亚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加快打造充满活力魅力的世界级滨海旅游城市、开放创新的海南自由贸易港标杆城市和宜居宜业的民生幸福城市，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海南自由贸易港和国际旅游消费中心建设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贡献三亚力量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0" w:firstLineChars="200"/>
        <w:textAlignment w:val="auto"/>
        <w:outlineLvl w:val="0"/>
        <w:rPr>
          <w:rFonts w:hint="eastAsia" w:ascii="黑体" w:hAnsi="黑体" w:eastAsia="黑体" w:cs="仿宋"/>
          <w:color w:val="191919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仿宋"/>
          <w:color w:val="191919"/>
          <w:kern w:val="2"/>
          <w:sz w:val="32"/>
          <w:szCs w:val="32"/>
          <w:shd w:val="clear" w:color="auto" w:fill="FFFFFF"/>
          <w:lang w:val="en-US" w:eastAsia="zh-CN" w:bidi="ar-SA"/>
        </w:rPr>
        <w:t>三、主要内容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579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本项服务内容主要包括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两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个部分：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02" w:firstLineChars="200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0"/>
          <w:szCs w:val="30"/>
          <w:highlight w:val="none"/>
          <w:lang w:val="en-US" w:eastAsia="zh-CN"/>
        </w:rPr>
        <w:t>一</w:t>
      </w:r>
      <w:r>
        <w:rPr>
          <w:rFonts w:hint="eastAsia" w:ascii="楷体" w:hAnsi="楷体" w:eastAsia="楷体" w:cs="楷体"/>
          <w:b/>
          <w:bCs/>
          <w:sz w:val="30"/>
          <w:szCs w:val="30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0"/>
          <w:szCs w:val="30"/>
          <w:highlight w:val="none"/>
          <w:lang w:val="en-US" w:eastAsia="zh-CN"/>
        </w:rPr>
        <w:t>三亚市旅游资源摸底调查</w:t>
      </w:r>
      <w:r>
        <w:rPr>
          <w:rFonts w:hint="eastAsia" w:ascii="楷体" w:hAnsi="楷体" w:eastAsia="楷体" w:cs="楷体"/>
          <w:b/>
          <w:bCs/>
          <w:sz w:val="30"/>
          <w:szCs w:val="30"/>
          <w:highlight w:val="none"/>
        </w:rPr>
        <w:t>调研</w:t>
      </w:r>
      <w:r>
        <w:rPr>
          <w:rFonts w:hint="eastAsia" w:ascii="楷体" w:hAnsi="楷体" w:eastAsia="楷体" w:cs="楷体"/>
          <w:b/>
          <w:bCs/>
          <w:sz w:val="30"/>
          <w:szCs w:val="30"/>
          <w:highlight w:val="none"/>
          <w:lang w:val="en-US" w:eastAsia="zh-CN"/>
        </w:rPr>
        <w:t>服务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579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全面对标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《旅游资源分类、调查与评价》（GB/T 18972-2017）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及相关细则中的分类及调查标准，组织由旅游资源调查领域的专家带队的专业团队，开展有针对性实地调研，详细收集数据和现状信息，编制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《三亚市旅游资源统计表》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，为后续评价及分析工作提供数据支撑。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02" w:firstLineChars="200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highlight w:val="none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0"/>
          <w:szCs w:val="30"/>
          <w:highlight w:val="none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sz w:val="30"/>
          <w:szCs w:val="30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0"/>
          <w:szCs w:val="30"/>
          <w:highlight w:val="none"/>
          <w:lang w:val="en-US" w:eastAsia="zh-CN"/>
        </w:rPr>
        <w:t>三亚市旅游资源评价</w:t>
      </w:r>
      <w:r>
        <w:rPr>
          <w:rFonts w:hint="eastAsia" w:ascii="楷体" w:hAnsi="楷体" w:eastAsia="楷体" w:cs="楷体"/>
          <w:b/>
          <w:bCs/>
          <w:sz w:val="30"/>
          <w:szCs w:val="30"/>
          <w:highlight w:val="none"/>
        </w:rPr>
        <w:t>服务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579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严格依照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《旅游资源分类、调查与评价》（GB/T 18972-2017）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及相关细则中的评价标准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，严格对照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创建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标准，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在前期调研的基础上，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组织专业团队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对三亚市旅游资源进行系统梳理及分析评价，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形成《三亚市旅游资源摸底调查与评价报告》。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579" w:lineRule="exact"/>
        <w:ind w:firstLine="602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highlight w:val="none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本项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目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咨询服务内容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重点对三亚市河湖水库等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旅游资源能否打造成旅游产品给出合法合规的意见和建议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0" w:firstLineChars="200"/>
        <w:textAlignment w:val="auto"/>
        <w:outlineLvl w:val="0"/>
        <w:rPr>
          <w:rFonts w:hint="eastAsia" w:ascii="黑体" w:hAnsi="黑体" w:eastAsia="黑体" w:cs="仿宋"/>
          <w:color w:val="191919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仿宋"/>
          <w:color w:val="191919"/>
          <w:kern w:val="2"/>
          <w:sz w:val="32"/>
          <w:szCs w:val="32"/>
          <w:shd w:val="clear" w:color="auto" w:fill="FFFFFF"/>
          <w:lang w:val="en-US" w:eastAsia="zh-CN" w:bidi="ar-SA"/>
        </w:rPr>
        <w:t>四、成果提交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579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《三亚市旅游资源摸底调查与评价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报告》纸质版及电子版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579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《三亚市旅游资源统计表》纸质版及电子版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579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三亚市旅游资源摸底调查与评价报告汇报PPT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579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三亚市河湖水库等旅游资源提升发展情况报告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</w:pPr>
    </w:p>
    <w:p>
      <w:pPr>
        <w:pStyle w:val="2"/>
        <w:ind w:firstLine="640" w:firstLineChars="200"/>
        <w:rPr>
          <w:rFonts w:ascii="黑体" w:hAnsi="黑体" w:eastAsia="黑体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color w:val="191919"/>
          <w:sz w:val="32"/>
          <w:szCs w:val="32"/>
          <w:shd w:val="clear" w:color="auto" w:fill="FFFFFF"/>
        </w:rPr>
        <w:t>五、费用预算：</w:t>
      </w:r>
      <w:r>
        <w:rPr>
          <w:rFonts w:hint="eastAsia" w:ascii="黑体" w:hAnsi="黑体" w:eastAsia="黑体" w:cs="仿宋"/>
          <w:color w:val="191919"/>
          <w:sz w:val="32"/>
          <w:szCs w:val="32"/>
          <w:shd w:val="clear" w:color="auto" w:fill="FFFFFF"/>
          <w:lang w:val="en-US" w:eastAsia="zh-CN"/>
        </w:rPr>
        <w:t>55</w:t>
      </w:r>
      <w:r>
        <w:rPr>
          <w:rFonts w:hint="eastAsia" w:ascii="黑体" w:hAnsi="黑体" w:eastAsia="黑体" w:cs="仿宋"/>
          <w:color w:val="191919"/>
          <w:sz w:val="32"/>
          <w:szCs w:val="32"/>
          <w:shd w:val="clear" w:color="auto" w:fill="FFFFFF"/>
        </w:rPr>
        <w:t>万元</w:t>
      </w:r>
    </w:p>
    <w:p>
      <w:pPr>
        <w:pStyle w:val="2"/>
        <w:numPr>
          <w:ilvl w:val="0"/>
          <w:numId w:val="1"/>
        </w:numPr>
        <w:ind w:firstLine="640" w:firstLineChars="200"/>
        <w:rPr>
          <w:rFonts w:ascii="黑体" w:hAnsi="黑体" w:eastAsia="黑体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color w:val="191919"/>
          <w:sz w:val="32"/>
          <w:szCs w:val="32"/>
          <w:shd w:val="clear" w:color="auto" w:fill="FFFFFF"/>
        </w:rPr>
        <w:t>编制团队资质要求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（一）项目组团队需有强大的研究实力和研究团队。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（二）项目组负责人需具有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较高的相关工作资质及其他省市资源普查的工作经验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（三）项目组成员熟悉海南省、三亚市具体情况，具备项目研究所需的专业能力，有丰富的理论储备和工作实践。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（四）课题组需制定较为详细的工作方案，过程安排稍紧凑，所出成果时效性强。</w:t>
      </w:r>
    </w:p>
    <w:p/>
    <w:p>
      <w:pPr>
        <w:pStyle w:val="2"/>
        <w:ind w:firstLine="640" w:firstLineChars="200"/>
        <w:rPr>
          <w:rFonts w:ascii="黑体" w:hAnsi="黑体" w:eastAsia="黑体" w:cs="仿宋"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color w:val="191919"/>
          <w:sz w:val="32"/>
          <w:szCs w:val="32"/>
          <w:shd w:val="clear" w:color="auto" w:fill="FFFFFF"/>
        </w:rPr>
        <w:t>七、编制团队的遴选方式</w:t>
      </w:r>
    </w:p>
    <w:p>
      <w:pPr>
        <w:pStyle w:val="2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公开邀请评标。发放邀请函或公告，欢迎符合要求的单位报名，按本方案有关工作内容和要求以及具体遴选事项准备材料。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579" w:lineRule="exact"/>
        <w:ind w:firstLine="600" w:firstLineChars="200"/>
        <w:jc w:val="left"/>
        <w:textAlignment w:val="auto"/>
        <w:rPr>
          <w:rFonts w:hint="eastAsia" w:ascii="仿宋" w:hAnsi="仿宋" w:eastAsia="仿宋" w:cs="Times New Roman"/>
          <w:kern w:val="2"/>
          <w:sz w:val="30"/>
          <w:szCs w:val="30"/>
          <w:highlight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579" w:lineRule="exact"/>
        <w:textAlignment w:val="auto"/>
        <w:rPr>
          <w:rFonts w:hint="eastAsia" w:ascii="仿宋" w:hAnsi="仿宋" w:eastAsia="仿宋" w:cs="Times New Roman"/>
          <w:kern w:val="2"/>
          <w:sz w:val="30"/>
          <w:szCs w:val="30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firstLine="600" w:firstLineChars="200"/>
        <w:jc w:val="left"/>
        <w:textAlignment w:val="auto"/>
        <w:outlineLvl w:val="9"/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</w:pPr>
    </w:p>
    <w:sectPr>
      <w:footerReference r:id="rId6" w:type="default"/>
      <w:pgSz w:w="11906" w:h="16838"/>
      <w:pgMar w:top="1440" w:right="1803" w:bottom="1440" w:left="1803" w:header="851" w:footer="907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11 -</w:t>
    </w:r>
    <w:r>
      <w:fldChar w:fldCharType="end"/>
    </w:r>
  </w:p>
  <w:p>
    <w:pPr>
      <w:pStyle w:val="3"/>
      <w:ind w:right="36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eastAsia" w:ascii="楷体_GB2312" w:eastAsia="楷体_GB2312"/>
        <w:b/>
        <w:color w:val="339966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6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FD0315"/>
    <w:rsid w:val="10380A7B"/>
    <w:rsid w:val="1AFA6DC2"/>
    <w:rsid w:val="1B457B32"/>
    <w:rsid w:val="262B6BCA"/>
    <w:rsid w:val="311931A7"/>
    <w:rsid w:val="34CD5948"/>
    <w:rsid w:val="3A1F6FD9"/>
    <w:rsid w:val="40C21192"/>
    <w:rsid w:val="582B08F8"/>
    <w:rsid w:val="584369B7"/>
    <w:rsid w:val="5E67F9F8"/>
    <w:rsid w:val="66DFEA44"/>
    <w:rsid w:val="68AF7398"/>
    <w:rsid w:val="77FD43D0"/>
    <w:rsid w:val="793940FF"/>
    <w:rsid w:val="BA7B23C6"/>
    <w:rsid w:val="DFEFD2E3"/>
    <w:rsid w:val="EFF74AD3"/>
    <w:rsid w:val="FE7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2021-11-10T15:13:00Z</dcterms:created>
  <dc:creator>SLB</dc:creator>
  <cp:lastModifiedBy>user</cp:lastModifiedBy>
  <cp:lastPrinted>2021-11-19T16:09:54Z</cp:lastPrinted>
  <dcterms:modified xsi:type="dcterms:W3CDTF">2021-11-19T16:24:39Z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1659E3F00CA544F9BA9AF3CBE7C33618</vt:lpwstr>
  </property>
</Properties>
</file>