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4223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简体" w:cs="Times New Roman"/>
          <w:color w:val="auto"/>
          <w:sz w:val="32"/>
          <w:szCs w:val="32"/>
        </w:rPr>
      </w:pPr>
      <w:r>
        <w:rPr>
          <w:rFonts w:hint="default" w:ascii="Times New Roman" w:hAnsi="Times New Roman" w:eastAsia="黑体" w:cs="Times New Roman"/>
          <w:color w:val="auto"/>
          <w:sz w:val="32"/>
          <w:szCs w:val="32"/>
          <w:lang w:eastAsia="zh-CN" w:bidi="ar"/>
        </w:rPr>
        <w:t>附件</w:t>
      </w:r>
      <w:r>
        <w:rPr>
          <w:rFonts w:hint="default" w:ascii="Times New Roman" w:hAnsi="Times New Roman" w:eastAsia="黑体" w:cs="Times New Roman"/>
          <w:color w:val="auto"/>
          <w:sz w:val="32"/>
          <w:szCs w:val="32"/>
          <w:lang w:val="en-US" w:eastAsia="zh-CN" w:bidi="ar"/>
        </w:rPr>
        <w:t>1</w:t>
      </w:r>
    </w:p>
    <w:p w14:paraId="22813164">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color w:val="auto"/>
          <w:lang w:val="en-US" w:eastAsia="zh-CN"/>
        </w:rPr>
      </w:pPr>
    </w:p>
    <w:p w14:paraId="798E89B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auto"/>
          <w:sz w:val="44"/>
          <w:szCs w:val="44"/>
          <w:lang w:bidi="ar"/>
        </w:rPr>
      </w:pPr>
      <w:r>
        <w:rPr>
          <w:rFonts w:hint="default" w:ascii="Times New Roman" w:hAnsi="Times New Roman" w:eastAsia="方正小标宋简体" w:cs="Times New Roman"/>
          <w:color w:val="auto"/>
          <w:sz w:val="44"/>
          <w:szCs w:val="44"/>
          <w:lang w:bidi="ar"/>
        </w:rPr>
        <w:t>三亚市支持招徕经港澳及其他区域入境旅游团</w:t>
      </w:r>
    </w:p>
    <w:p w14:paraId="5530918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44"/>
          <w:szCs w:val="44"/>
          <w:lang w:eastAsia="zh-CN" w:bidi="ar"/>
        </w:rPr>
        <w:t>奖励</w:t>
      </w:r>
      <w:r>
        <w:rPr>
          <w:rFonts w:hint="default" w:ascii="Times New Roman" w:hAnsi="Times New Roman" w:eastAsia="方正小标宋简体" w:cs="Times New Roman"/>
          <w:color w:val="auto"/>
          <w:sz w:val="44"/>
          <w:szCs w:val="44"/>
          <w:lang w:bidi="ar"/>
        </w:rPr>
        <w:t>实施细则</w:t>
      </w:r>
    </w:p>
    <w:p w14:paraId="569332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p>
    <w:p w14:paraId="5CA7EA2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bookmarkStart w:id="0" w:name="_GoBack"/>
      <w:bookmarkEnd w:id="0"/>
      <w:r>
        <w:rPr>
          <w:rFonts w:hint="default" w:ascii="Times New Roman" w:hAnsi="Times New Roman" w:eastAsia="仿宋_GB2312" w:cs="Times New Roman"/>
          <w:color w:val="auto"/>
          <w:sz w:val="32"/>
          <w:szCs w:val="32"/>
        </w:rPr>
        <w:t>根据《三亚市加强文体旅商展联动进一步促进消费的</w:t>
      </w:r>
      <w:r>
        <w:rPr>
          <w:rFonts w:hint="eastAsia" w:ascii="Times New Roman" w:hAnsi="Times New Roman" w:eastAsia="仿宋_GB2312" w:cs="Times New Roman"/>
          <w:color w:val="auto"/>
          <w:sz w:val="32"/>
          <w:szCs w:val="32"/>
          <w:lang w:eastAsia="zh-CN"/>
        </w:rPr>
        <w:t>若干</w:t>
      </w:r>
      <w:r>
        <w:rPr>
          <w:rFonts w:hint="default" w:ascii="Times New Roman" w:hAnsi="Times New Roman" w:eastAsia="仿宋_GB2312" w:cs="Times New Roman"/>
          <w:color w:val="auto"/>
          <w:sz w:val="32"/>
          <w:szCs w:val="32"/>
        </w:rPr>
        <w:t>措施》有关规定，为充分发挥和用好国家移民管理局发布的最新入境免签</w:t>
      </w:r>
      <w:r>
        <w:rPr>
          <w:rFonts w:hint="eastAsia"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政策，激励旅行社招徕经港澳</w:t>
      </w:r>
      <w:r>
        <w:rPr>
          <w:rFonts w:hint="eastAsia" w:ascii="Times New Roman" w:hAnsi="Times New Roman" w:eastAsia="仿宋_GB2312" w:cs="Times New Roman"/>
          <w:color w:val="auto"/>
          <w:sz w:val="32"/>
          <w:szCs w:val="32"/>
          <w:lang w:eastAsia="zh-CN"/>
        </w:rPr>
        <w:t>及其他区域</w:t>
      </w:r>
      <w:r>
        <w:rPr>
          <w:rFonts w:hint="default" w:ascii="Times New Roman" w:hAnsi="Times New Roman" w:eastAsia="仿宋_GB2312" w:cs="Times New Roman"/>
          <w:color w:val="auto"/>
          <w:sz w:val="32"/>
          <w:szCs w:val="32"/>
        </w:rPr>
        <w:t>入境的旅游团，进一步促进我市境外旅游消费，招商引资具有境外旅游业务的公司来三亚注册或设立分公司，制定本实施细则。</w:t>
      </w:r>
    </w:p>
    <w:p w14:paraId="4328E004">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一、奖励对象</w:t>
      </w:r>
    </w:p>
    <w:p w14:paraId="5D0E329B">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568"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10"/>
          <w:w w:val="95"/>
          <w:lang w:eastAsia="zh-CN"/>
        </w:rPr>
        <w:t>本细则的</w:t>
      </w:r>
      <w:r>
        <w:rPr>
          <w:rFonts w:hint="default" w:ascii="Times New Roman" w:hAnsi="Times New Roman" w:eastAsia="仿宋_GB2312" w:cs="Times New Roman"/>
          <w:color w:val="auto"/>
          <w:spacing w:val="8"/>
          <w:lang w:eastAsia="zh-CN"/>
        </w:rPr>
        <w:t>奖励对象为在三亚市从事旅行社业务的旅行社企业</w:t>
      </w:r>
      <w:r>
        <w:rPr>
          <w:rFonts w:hint="default" w:ascii="Times New Roman" w:hAnsi="Times New Roman" w:eastAsia="仿宋_GB2312" w:cs="Times New Roman"/>
          <w:color w:val="auto"/>
          <w:spacing w:val="-4"/>
          <w:lang w:eastAsia="zh-CN"/>
        </w:rPr>
        <w:t>，同时满足以下条</w:t>
      </w:r>
      <w:r>
        <w:rPr>
          <w:rFonts w:hint="default" w:ascii="Times New Roman" w:hAnsi="Times New Roman" w:eastAsia="仿宋_GB2312" w:cs="Times New Roman"/>
          <w:color w:val="auto"/>
          <w:lang w:eastAsia="zh-CN"/>
        </w:rPr>
        <w:t>件：</w:t>
      </w:r>
    </w:p>
    <w:p w14:paraId="2DE71EFD">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（一）在三亚市内办理注册登记；</w:t>
      </w:r>
    </w:p>
    <w:p w14:paraId="2C4153EA">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（二）财务管理规范、财务管理制度健全；</w:t>
      </w:r>
    </w:p>
    <w:p w14:paraId="3356C6E1">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（三）未纳入国家企业信用信息公示系统及信用中国网经营异常名录、严重失信主体名单；</w:t>
      </w:r>
    </w:p>
    <w:p w14:paraId="4201CAFC">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（四）不存在欠税情形或其他重大税收违法行为，纳税信用级别不为D级；</w:t>
      </w:r>
    </w:p>
    <w:p w14:paraId="30F4500B">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（五）近3年内，未因违法违规行为被执法部门查处，未发生过安全生产事故。</w:t>
      </w:r>
    </w:p>
    <w:p w14:paraId="23D11B02">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二、奖励标准</w:t>
      </w:r>
    </w:p>
    <w:p w14:paraId="4AD5191D">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bidi="ar"/>
        </w:rPr>
        <w:t>对旅行社招徕接待经</w:t>
      </w:r>
      <w:r>
        <w:rPr>
          <w:rFonts w:hint="default" w:ascii="Times New Roman" w:hAnsi="Times New Roman" w:eastAsia="仿宋_GB2312" w:cs="Times New Roman"/>
          <w:color w:val="auto"/>
          <w:sz w:val="32"/>
          <w:szCs w:val="32"/>
        </w:rPr>
        <w:t>港澳</w:t>
      </w:r>
      <w:r>
        <w:rPr>
          <w:rFonts w:hint="eastAsia" w:ascii="Times New Roman" w:hAnsi="Times New Roman" w:eastAsia="仿宋_GB2312" w:cs="Times New Roman"/>
          <w:color w:val="auto"/>
          <w:sz w:val="32"/>
          <w:szCs w:val="32"/>
          <w:lang w:eastAsia="zh-CN"/>
        </w:rPr>
        <w:t>及其他区域</w:t>
      </w:r>
      <w:r>
        <w:rPr>
          <w:rFonts w:hint="default" w:ascii="Times New Roman" w:hAnsi="Times New Roman" w:eastAsia="仿宋_GB2312" w:cs="Times New Roman"/>
          <w:color w:val="auto"/>
          <w:lang w:eastAsia="zh-CN" w:bidi="ar"/>
        </w:rPr>
        <w:t>入境海南符合</w:t>
      </w:r>
      <w:r>
        <w:rPr>
          <w:rFonts w:hint="default" w:ascii="Times New Roman" w:hAnsi="Times New Roman" w:eastAsia="仿宋_GB2312" w:cs="Times New Roman"/>
          <w:color w:val="auto"/>
          <w:lang w:eastAsia="zh-CN"/>
        </w:rPr>
        <w:t>国家移民管理局发布的</w:t>
      </w:r>
      <w:r>
        <w:rPr>
          <w:rFonts w:hint="default" w:ascii="Times New Roman" w:hAnsi="Times New Roman" w:eastAsia="仿宋_GB2312" w:cs="Times New Roman"/>
          <w:color w:val="auto"/>
          <w:sz w:val="32"/>
          <w:szCs w:val="32"/>
        </w:rPr>
        <w:t>最新</w:t>
      </w:r>
      <w:r>
        <w:rPr>
          <w:rFonts w:hint="default" w:ascii="Times New Roman" w:hAnsi="Times New Roman" w:eastAsia="仿宋_GB2312" w:cs="Times New Roman"/>
          <w:color w:val="auto"/>
          <w:lang w:eastAsia="zh-CN"/>
        </w:rPr>
        <w:t>入境免签相关政策的</w:t>
      </w:r>
      <w:r>
        <w:rPr>
          <w:rFonts w:hint="default" w:ascii="Times New Roman" w:hAnsi="Times New Roman" w:eastAsia="仿宋_GB2312" w:cs="Times New Roman"/>
          <w:color w:val="auto"/>
          <w:lang w:eastAsia="zh-CN" w:bidi="ar"/>
        </w:rPr>
        <w:t>外籍游客到三亚旅游，按入境外籍游客400元/人次的标准给予奖励。</w:t>
      </w:r>
    </w:p>
    <w:p w14:paraId="1777FFCD">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三、资金申报</w:t>
      </w:r>
    </w:p>
    <w:p w14:paraId="474ADB4D">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8"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2"/>
          <w:lang w:eastAsia="zh-CN"/>
        </w:rPr>
        <w:t>申报企业通过海南省惠企政策兑现服务系统上申报并提交资金申请材料。</w:t>
      </w:r>
      <w:r>
        <w:rPr>
          <w:rFonts w:hint="default" w:ascii="Times New Roman" w:hAnsi="Times New Roman" w:eastAsia="仿宋_GB2312" w:cs="Times New Roman"/>
          <w:color w:val="auto"/>
          <w:lang w:eastAsia="zh-CN"/>
        </w:rPr>
        <w:t>系统链接：https://hqzc.wssp.hainan.gov.cn/#/home。</w:t>
      </w:r>
    </w:p>
    <w:p w14:paraId="441083B8">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60" w:firstLineChars="200"/>
        <w:jc w:val="both"/>
        <w:textAlignment w:val="auto"/>
        <w:rPr>
          <w:rFonts w:hint="default" w:ascii="Times New Roman" w:hAnsi="Times New Roman" w:eastAsia="仿宋_GB2312" w:cs="Times New Roman"/>
          <w:color w:val="auto"/>
          <w:spacing w:val="5"/>
          <w:lang w:eastAsia="zh-CN"/>
        </w:rPr>
      </w:pPr>
      <w:r>
        <w:rPr>
          <w:rFonts w:hint="default" w:ascii="Times New Roman" w:hAnsi="Times New Roman" w:eastAsia="仿宋_GB2312" w:cs="Times New Roman"/>
          <w:color w:val="auto"/>
          <w:spacing w:val="5"/>
          <w:lang w:eastAsia="zh-CN"/>
        </w:rPr>
        <w:t>（一）申报时间。</w:t>
      </w:r>
      <w:r>
        <w:rPr>
          <w:rFonts w:hint="eastAsia" w:ascii="Times New Roman" w:hAnsi="Times New Roman" w:eastAsia="仿宋_GB2312" w:cs="Times New Roman"/>
          <w:color w:val="auto"/>
          <w:spacing w:val="5"/>
          <w:lang w:val="en-US" w:eastAsia="zh-CN"/>
        </w:rPr>
        <w:t>原则上</w:t>
      </w:r>
      <w:r>
        <w:rPr>
          <w:rFonts w:hint="default" w:ascii="Times New Roman" w:hAnsi="Times New Roman" w:eastAsia="仿宋_GB2312" w:cs="Times New Roman"/>
          <w:color w:val="auto"/>
          <w:spacing w:val="5"/>
          <w:lang w:eastAsia="zh-CN"/>
        </w:rPr>
        <w:t>申报奖励的企业应于《实施细则》年度</w:t>
      </w:r>
      <w:r>
        <w:rPr>
          <w:rFonts w:hint="eastAsia" w:ascii="Times New Roman" w:hAnsi="Times New Roman" w:eastAsia="仿宋_GB2312" w:cs="Times New Roman"/>
          <w:color w:val="auto"/>
          <w:spacing w:val="5"/>
          <w:lang w:val="en-US" w:eastAsia="zh-CN"/>
        </w:rPr>
        <w:t>内每季度</w:t>
      </w:r>
      <w:r>
        <w:rPr>
          <w:rFonts w:hint="default" w:ascii="Times New Roman" w:hAnsi="Times New Roman" w:eastAsia="仿宋_GB2312" w:cs="Times New Roman"/>
          <w:color w:val="auto"/>
          <w:spacing w:val="5"/>
          <w:lang w:eastAsia="zh-CN"/>
        </w:rPr>
        <w:t>结束后</w:t>
      </w:r>
      <w:r>
        <w:rPr>
          <w:rFonts w:hint="eastAsia" w:ascii="Times New Roman" w:hAnsi="Times New Roman" w:eastAsia="仿宋_GB2312" w:cs="Times New Roman"/>
          <w:color w:val="auto"/>
          <w:spacing w:val="5"/>
          <w:lang w:val="en-US" w:eastAsia="zh-CN"/>
        </w:rPr>
        <w:t>20</w:t>
      </w:r>
      <w:r>
        <w:rPr>
          <w:rFonts w:hint="default" w:ascii="Times New Roman" w:hAnsi="Times New Roman" w:eastAsia="仿宋_GB2312" w:cs="Times New Roman"/>
          <w:color w:val="auto"/>
          <w:spacing w:val="5"/>
          <w:lang w:eastAsia="zh-CN"/>
        </w:rPr>
        <w:t>个工作日内提交</w:t>
      </w:r>
      <w:r>
        <w:rPr>
          <w:rFonts w:hint="eastAsia" w:ascii="Times New Roman" w:hAnsi="Times New Roman" w:eastAsia="仿宋_GB2312" w:cs="Times New Roman"/>
          <w:color w:val="auto"/>
          <w:spacing w:val="5"/>
          <w:lang w:val="en-US" w:eastAsia="zh-CN"/>
        </w:rPr>
        <w:t>奖励</w:t>
      </w:r>
      <w:r>
        <w:rPr>
          <w:rFonts w:hint="default" w:ascii="Times New Roman" w:hAnsi="Times New Roman" w:eastAsia="仿宋_GB2312" w:cs="Times New Roman"/>
          <w:color w:val="auto"/>
          <w:spacing w:val="5"/>
          <w:lang w:eastAsia="zh-CN"/>
        </w:rPr>
        <w:t>申请材料，逾期未申报视为自动放弃。</w:t>
      </w:r>
    </w:p>
    <w:p w14:paraId="7254A3EC">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60" w:firstLineChars="200"/>
        <w:jc w:val="both"/>
        <w:textAlignment w:val="auto"/>
        <w:rPr>
          <w:rFonts w:hint="default" w:ascii="Times New Roman" w:hAnsi="Times New Roman" w:eastAsia="仿宋_GB2312" w:cs="Times New Roman"/>
          <w:color w:val="auto"/>
          <w:spacing w:val="5"/>
          <w:lang w:eastAsia="zh-CN"/>
        </w:rPr>
      </w:pPr>
      <w:r>
        <w:rPr>
          <w:rFonts w:hint="default" w:ascii="Times New Roman" w:hAnsi="Times New Roman" w:eastAsia="仿宋_GB2312" w:cs="Times New Roman"/>
          <w:color w:val="auto"/>
          <w:spacing w:val="5"/>
          <w:lang w:eastAsia="zh-CN"/>
        </w:rPr>
        <w:t>（二）申报材料</w:t>
      </w:r>
    </w:p>
    <w:p w14:paraId="574EB401">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1.申报表（见附件1）；</w:t>
      </w:r>
    </w:p>
    <w:p w14:paraId="56C924A8">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2.营业执照复印件；</w:t>
      </w:r>
    </w:p>
    <w:p w14:paraId="0F9296A8">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3.申报承诺书（见附件2）；</w:t>
      </w:r>
    </w:p>
    <w:p w14:paraId="3A677287">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4.三亚市及海口市口岸部门（口岸联检单位）确认的</w:t>
      </w:r>
      <w:r>
        <w:rPr>
          <w:rFonts w:hint="eastAsia" w:ascii="Times New Roman" w:hAnsi="Times New Roman" w:eastAsia="仿宋_GB2312" w:cs="Times New Roman"/>
          <w:color w:val="auto"/>
          <w:lang w:eastAsia="zh-CN"/>
        </w:rPr>
        <w:t>经</w:t>
      </w:r>
      <w:r>
        <w:rPr>
          <w:rFonts w:hint="default" w:ascii="Times New Roman" w:hAnsi="Times New Roman" w:eastAsia="仿宋_GB2312" w:cs="Times New Roman"/>
          <w:color w:val="auto"/>
          <w:sz w:val="32"/>
          <w:szCs w:val="32"/>
        </w:rPr>
        <w:t>港澳</w:t>
      </w:r>
      <w:r>
        <w:rPr>
          <w:rFonts w:hint="eastAsia" w:ascii="Times New Roman" w:hAnsi="Times New Roman" w:eastAsia="仿宋_GB2312" w:cs="Times New Roman"/>
          <w:color w:val="auto"/>
          <w:sz w:val="32"/>
          <w:szCs w:val="32"/>
          <w:lang w:eastAsia="zh-CN"/>
        </w:rPr>
        <w:t>及其他区域的</w:t>
      </w:r>
      <w:r>
        <w:rPr>
          <w:rFonts w:hint="default" w:ascii="Times New Roman" w:hAnsi="Times New Roman" w:eastAsia="仿宋_GB2312" w:cs="Times New Roman"/>
          <w:color w:val="auto"/>
          <w:lang w:eastAsia="zh-CN"/>
        </w:rPr>
        <w:t>入境旅游团旅客数据统计。</w:t>
      </w:r>
    </w:p>
    <w:p w14:paraId="6A95D4BA">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以上申报材料均需加盖公章。</w:t>
      </w:r>
    </w:p>
    <w:p w14:paraId="673E858C">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四、资金审核及拨付</w:t>
      </w:r>
    </w:p>
    <w:p w14:paraId="5938C5F1">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589" w:firstLineChars="189"/>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lang w:eastAsia="zh-CN"/>
        </w:rPr>
        <w:t>（一）资金审核。三亚市旅游和文化广电体育局受理申报材料后，组织开展核查评审（可聘请第三方机构）</w:t>
      </w:r>
      <w:r>
        <w:rPr>
          <w:rFonts w:hint="default" w:ascii="Times New Roman" w:hAnsi="Times New Roman" w:eastAsia="仿宋_GB2312" w:cs="Times New Roman"/>
          <w:color w:val="auto"/>
          <w:kern w:val="2"/>
          <w:lang w:eastAsia="zh-CN"/>
        </w:rPr>
        <w:t>，并结合实际征求相关部门意见</w:t>
      </w:r>
      <w:r>
        <w:rPr>
          <w:rFonts w:hint="default" w:ascii="Times New Roman" w:hAnsi="Times New Roman" w:eastAsia="仿宋_GB2312" w:cs="Times New Roman"/>
          <w:color w:val="auto"/>
          <w:spacing w:val="-4"/>
          <w:lang w:eastAsia="zh-CN"/>
        </w:rPr>
        <w:t>，确定奖励企业的名单</w:t>
      </w:r>
      <w:r>
        <w:rPr>
          <w:rFonts w:hint="default" w:ascii="Times New Roman" w:hAnsi="Times New Roman" w:eastAsia="仿宋_GB2312" w:cs="Times New Roman"/>
          <w:color w:val="auto"/>
          <w:lang w:eastAsia="zh-CN"/>
        </w:rPr>
        <w:t>。其中：</w:t>
      </w:r>
    </w:p>
    <w:p w14:paraId="6A55C87A">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rFonts w:hint="default" w:ascii="Times New Roman" w:hAnsi="Times New Roman" w:eastAsia="仿宋_GB2312" w:cs="Times New Roman"/>
          <w:color w:val="auto"/>
          <w:spacing w:val="-4"/>
          <w:lang w:eastAsia="zh-CN"/>
        </w:rPr>
      </w:pPr>
      <w:r>
        <w:rPr>
          <w:rFonts w:hint="default" w:ascii="Times New Roman" w:hAnsi="Times New Roman" w:eastAsia="仿宋_GB2312" w:cs="Times New Roman"/>
          <w:color w:val="auto"/>
          <w:spacing w:val="-4"/>
          <w:lang w:eastAsia="zh-CN"/>
        </w:rPr>
        <w:t>向税务部门核实企业是否有欠税等违规行为，</w:t>
      </w:r>
      <w:r>
        <w:rPr>
          <w:rFonts w:hint="default" w:ascii="Times New Roman" w:hAnsi="Times New Roman" w:eastAsia="仿宋_GB2312" w:cs="Times New Roman"/>
          <w:color w:val="auto"/>
          <w:spacing w:val="-4"/>
          <w:sz w:val="32"/>
          <w:szCs w:val="32"/>
          <w:lang w:val="en-US" w:eastAsia="zh-CN"/>
        </w:rPr>
        <w:t>向综合行政执法部门核实</w:t>
      </w:r>
      <w:r>
        <w:rPr>
          <w:rFonts w:hint="eastAsia" w:ascii="Times New Roman" w:hAnsi="Times New Roman" w:eastAsia="仿宋_GB2312" w:cs="Times New Roman"/>
          <w:color w:val="auto"/>
          <w:spacing w:val="-4"/>
          <w:sz w:val="32"/>
          <w:szCs w:val="32"/>
          <w:lang w:val="en-US" w:eastAsia="zh-CN"/>
        </w:rPr>
        <w:t>企业</w:t>
      </w:r>
      <w:r>
        <w:rPr>
          <w:rFonts w:hint="default" w:ascii="Times New Roman" w:hAnsi="Times New Roman" w:eastAsia="仿宋_GB2312" w:cs="Times New Roman"/>
          <w:color w:val="auto"/>
          <w:spacing w:val="-4"/>
          <w:sz w:val="32"/>
          <w:szCs w:val="32"/>
          <w:lang w:val="en-US" w:eastAsia="zh-CN"/>
        </w:rPr>
        <w:t>是否有违法违规</w:t>
      </w:r>
      <w:r>
        <w:rPr>
          <w:rFonts w:hint="eastAsia" w:ascii="Times New Roman" w:hAnsi="Times New Roman" w:eastAsia="仿宋_GB2312" w:cs="Times New Roman"/>
          <w:color w:val="auto"/>
          <w:spacing w:val="-4"/>
          <w:sz w:val="32"/>
          <w:szCs w:val="32"/>
          <w:lang w:val="en-US" w:eastAsia="zh-CN"/>
        </w:rPr>
        <w:t>被处罚行为，</w:t>
      </w:r>
      <w:r>
        <w:rPr>
          <w:rFonts w:hint="default" w:ascii="Times New Roman" w:hAnsi="Times New Roman" w:eastAsia="仿宋_GB2312" w:cs="Times New Roman"/>
          <w:color w:val="auto"/>
          <w:spacing w:val="-4"/>
          <w:sz w:val="32"/>
          <w:szCs w:val="32"/>
          <w:lang w:val="en-US" w:eastAsia="zh-CN"/>
        </w:rPr>
        <w:t>向营商环境建设部门</w:t>
      </w:r>
      <w:r>
        <w:rPr>
          <w:rFonts w:hint="eastAsia" w:ascii="Times New Roman" w:hAnsi="Times New Roman" w:eastAsia="仿宋_GB2312" w:cs="Times New Roman"/>
          <w:color w:val="auto"/>
          <w:spacing w:val="-4"/>
          <w:sz w:val="32"/>
          <w:szCs w:val="32"/>
          <w:lang w:val="en-US" w:eastAsia="zh-CN"/>
        </w:rPr>
        <w:t>和</w:t>
      </w:r>
      <w:r>
        <w:rPr>
          <w:rFonts w:hint="default" w:ascii="Times New Roman" w:hAnsi="Times New Roman" w:eastAsia="仿宋_GB2312" w:cs="Times New Roman"/>
          <w:color w:val="auto"/>
          <w:spacing w:val="-4"/>
          <w:lang w:eastAsia="zh-CN"/>
        </w:rPr>
        <w:t>市场监管部门核实企业是否有违规经营或失信行为。</w:t>
      </w:r>
    </w:p>
    <w:p w14:paraId="5086A963">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lang w:eastAsia="zh-CN"/>
        </w:rPr>
        <w:t>向应急管理、市场监管、消防、住建等有关部门征求企业安全生产意见，申报企业近三年发生过重大安全事故或存在有关部</w:t>
      </w:r>
      <w:r>
        <w:rPr>
          <w:rFonts w:hint="default" w:ascii="Times New Roman" w:hAnsi="Times New Roman" w:eastAsia="仿宋_GB2312" w:cs="Times New Roman"/>
          <w:color w:val="auto"/>
          <w:lang w:eastAsia="zh-CN"/>
        </w:rPr>
        <w:t>门督办但未完成整改安全生产问题的，不予支持。</w:t>
      </w:r>
    </w:p>
    <w:p w14:paraId="0C54D1E5">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589" w:firstLineChars="189"/>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lang w:eastAsia="zh-CN"/>
        </w:rPr>
        <w:t>（二）资金公示。由三亚市旅游和文化广电体育局在局官网及“海易兑”平台等相关渠道上对拟奖励企业</w:t>
      </w:r>
      <w:r>
        <w:rPr>
          <w:rFonts w:hint="default" w:ascii="Times New Roman" w:hAnsi="Times New Roman" w:eastAsia="仿宋_GB2312" w:cs="Times New Roman"/>
          <w:color w:val="auto"/>
          <w:lang w:eastAsia="zh-CN"/>
        </w:rPr>
        <w:t>及标准进行公示，时间不少于五个工作日。</w:t>
      </w:r>
    </w:p>
    <w:p w14:paraId="4E027B0E">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rFonts w:hint="default" w:ascii="Times New Roman" w:hAnsi="Times New Roman" w:eastAsia="仿宋_GB2312" w:cs="Times New Roman"/>
          <w:color w:val="auto"/>
          <w:sz w:val="26"/>
          <w:szCs w:val="26"/>
          <w:lang w:eastAsia="zh-CN"/>
        </w:rPr>
      </w:pPr>
      <w:r>
        <w:rPr>
          <w:rFonts w:hint="default" w:ascii="Times New Roman" w:hAnsi="Times New Roman" w:eastAsia="仿宋_GB2312" w:cs="Times New Roman"/>
          <w:color w:val="auto"/>
          <w:spacing w:val="-4"/>
          <w:lang w:eastAsia="zh-CN"/>
        </w:rPr>
        <w:t>（三）资金拨付。根据公示情况，三亚市旅游和文化广电体育局向三亚市财政局提出奖励资金申请，三亚市财政局下达奖励资金后，由三亚市旅游和文化广电体育局</w:t>
      </w:r>
      <w:r>
        <w:rPr>
          <w:rFonts w:hint="default" w:ascii="Times New Roman" w:hAnsi="Times New Roman" w:eastAsia="仿宋_GB2312" w:cs="Times New Roman"/>
          <w:color w:val="auto"/>
          <w:lang w:eastAsia="zh-CN"/>
        </w:rPr>
        <w:t>按规定程序兑付奖励资金。</w:t>
      </w:r>
    </w:p>
    <w:p w14:paraId="482B5416">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五、相关要求</w:t>
      </w:r>
    </w:p>
    <w:p w14:paraId="3AE94911">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lang w:eastAsia="zh-CN"/>
        </w:rPr>
        <w:t>（一）获得奖励资金支持的企业应当按照国家有关财务、会计制度的规定进行账务处理，严格按照规定使用资金，并自觉接</w:t>
      </w:r>
      <w:r>
        <w:rPr>
          <w:rFonts w:hint="default" w:ascii="Times New Roman" w:hAnsi="Times New Roman" w:eastAsia="仿宋_GB2312" w:cs="Times New Roman"/>
          <w:color w:val="auto"/>
          <w:lang w:eastAsia="zh-CN"/>
        </w:rPr>
        <w:t>受财政、商务、审计等部门的监督检查。</w:t>
      </w:r>
    </w:p>
    <w:p w14:paraId="3C96D12D">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lang w:eastAsia="zh-CN"/>
        </w:rPr>
        <w:t>（二）本实施细则由三亚市旅游和文化广电体育局负责解释，</w:t>
      </w:r>
      <w:r>
        <w:rPr>
          <w:rFonts w:hint="default" w:ascii="Times New Roman" w:hAnsi="Times New Roman" w:eastAsia="仿宋_GB2312" w:cs="Times New Roman"/>
          <w:color w:val="auto"/>
          <w:spacing w:val="4"/>
          <w:lang w:eastAsia="zh-CN"/>
        </w:rPr>
        <w:t>有效期至2025年12月31日</w:t>
      </w:r>
      <w:r>
        <w:rPr>
          <w:rFonts w:hint="default" w:ascii="Times New Roman" w:hAnsi="Times New Roman" w:eastAsia="仿宋_GB2312" w:cs="Times New Roman"/>
          <w:color w:val="auto"/>
          <w:spacing w:val="-4"/>
          <w:lang w:eastAsia="zh-CN"/>
        </w:rPr>
        <w:t>。实施细则依据的相关法律法规、政策文件或行业发展情况发生变化时，三亚市旅游和文化广电体育局根</w:t>
      </w:r>
      <w:r>
        <w:rPr>
          <w:rFonts w:hint="default" w:ascii="Times New Roman" w:hAnsi="Times New Roman" w:eastAsia="仿宋_GB2312" w:cs="Times New Roman"/>
          <w:color w:val="auto"/>
          <w:lang w:eastAsia="zh-CN"/>
        </w:rPr>
        <w:t>据实际情况适时修订。</w:t>
      </w:r>
    </w:p>
    <w:p w14:paraId="5B854C08">
      <w:pPr>
        <w:pStyle w:val="3"/>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0" w:leftChars="0" w:firstLine="624" w:firstLineChars="200"/>
        <w:jc w:val="both"/>
        <w:textAlignment w:val="auto"/>
        <w:rPr>
          <w:rFonts w:hint="default" w:ascii="Times New Roman" w:hAnsi="Times New Roman" w:eastAsia="仿宋_GB2312" w:cs="Times New Roman"/>
          <w:color w:val="auto"/>
          <w:spacing w:val="-4"/>
          <w:lang w:eastAsia="zh-CN"/>
        </w:rPr>
      </w:pPr>
      <w:r>
        <w:rPr>
          <w:rFonts w:hint="eastAsia" w:ascii="仿宋_GB2312" w:hAnsi="仿宋_GB2312" w:eastAsia="仿宋_GB2312" w:cs="仿宋_GB2312"/>
          <w:color w:val="auto"/>
          <w:spacing w:val="-4"/>
          <w:lang w:eastAsia="zh-CN"/>
        </w:rPr>
        <w:t>附：</w:t>
      </w:r>
      <w:r>
        <w:rPr>
          <w:rFonts w:hint="default" w:ascii="Times New Roman" w:hAnsi="Times New Roman" w:eastAsia="仿宋_GB2312" w:cs="Times New Roman"/>
          <w:color w:val="auto"/>
          <w:spacing w:val="-4"/>
          <w:lang w:val="en-US" w:eastAsia="zh-CN"/>
        </w:rPr>
        <w:t xml:space="preserve">1-1. </w:t>
      </w:r>
      <w:r>
        <w:rPr>
          <w:rFonts w:hint="default" w:ascii="Times New Roman" w:hAnsi="Times New Roman" w:eastAsia="仿宋_GB2312" w:cs="Times New Roman"/>
          <w:color w:val="auto"/>
          <w:spacing w:val="-4"/>
          <w:lang w:eastAsia="zh-CN"/>
        </w:rPr>
        <w:t>三亚市支持招徕经</w:t>
      </w:r>
      <w:r>
        <w:rPr>
          <w:rFonts w:hint="default" w:ascii="Times New Roman" w:hAnsi="Times New Roman" w:eastAsia="仿宋_GB2312" w:cs="Times New Roman"/>
          <w:color w:val="auto"/>
          <w:sz w:val="32"/>
          <w:szCs w:val="32"/>
        </w:rPr>
        <w:t>港澳</w:t>
      </w:r>
      <w:r>
        <w:rPr>
          <w:rFonts w:hint="eastAsia" w:ascii="Times New Roman" w:hAnsi="Times New Roman" w:eastAsia="仿宋_GB2312" w:cs="Times New Roman"/>
          <w:color w:val="auto"/>
          <w:sz w:val="32"/>
          <w:szCs w:val="32"/>
          <w:lang w:eastAsia="zh-CN"/>
        </w:rPr>
        <w:t>及其他区域</w:t>
      </w:r>
      <w:r>
        <w:rPr>
          <w:rFonts w:hint="eastAsia" w:ascii="Times New Roman" w:hAnsi="Times New Roman" w:eastAsia="仿宋_GB2312" w:cs="Times New Roman"/>
          <w:color w:val="auto"/>
          <w:spacing w:val="-4"/>
          <w:lang w:eastAsia="zh-CN"/>
        </w:rPr>
        <w:t>入境</w:t>
      </w:r>
      <w:r>
        <w:rPr>
          <w:rFonts w:hint="default" w:ascii="Times New Roman" w:hAnsi="Times New Roman" w:eastAsia="仿宋_GB2312" w:cs="Times New Roman"/>
          <w:color w:val="auto"/>
          <w:spacing w:val="-4"/>
          <w:lang w:eastAsia="zh-CN"/>
        </w:rPr>
        <w:t>旅游团奖励</w:t>
      </w:r>
    </w:p>
    <w:p w14:paraId="75C863F6">
      <w:pPr>
        <w:pStyle w:val="3"/>
        <w:keepNext w:val="0"/>
        <w:keepLines w:val="0"/>
        <w:pageBreakBefore w:val="0"/>
        <w:widowControl w:val="0"/>
        <w:tabs>
          <w:tab w:val="left" w:pos="1387"/>
        </w:tabs>
        <w:kinsoku/>
        <w:wordWrap/>
        <w:overflowPunct/>
        <w:topLinePunct w:val="0"/>
        <w:autoSpaceDE/>
        <w:autoSpaceDN/>
        <w:bidi w:val="0"/>
        <w:adjustRightInd/>
        <w:snapToGrid/>
        <w:spacing w:before="0" w:after="0" w:line="578" w:lineRule="exact"/>
        <w:ind w:left="0" w:leftChars="0" w:firstLine="624" w:firstLineChars="200"/>
        <w:jc w:val="both"/>
        <w:textAlignment w:val="auto"/>
        <w:rPr>
          <w:rFonts w:hint="default" w:ascii="Times New Roman" w:hAnsi="Times New Roman" w:eastAsia="仿宋_GB2312" w:cs="Times New Roman"/>
          <w:color w:val="auto"/>
          <w:spacing w:val="-4"/>
          <w:lang w:eastAsia="zh-CN"/>
        </w:rPr>
      </w:pPr>
      <w:r>
        <w:rPr>
          <w:rFonts w:hint="eastAsia" w:ascii="Times New Roman" w:hAnsi="Times New Roman" w:eastAsia="仿宋_GB2312" w:cs="Times New Roman"/>
          <w:color w:val="auto"/>
          <w:spacing w:val="-4"/>
          <w:lang w:val="en-US" w:eastAsia="zh-CN"/>
        </w:rPr>
        <w:t xml:space="preserve">         </w:t>
      </w:r>
      <w:r>
        <w:rPr>
          <w:rFonts w:hint="default" w:ascii="Times New Roman" w:hAnsi="Times New Roman" w:eastAsia="仿宋_GB2312" w:cs="Times New Roman"/>
          <w:color w:val="auto"/>
          <w:spacing w:val="-4"/>
          <w:lang w:eastAsia="zh-CN"/>
        </w:rPr>
        <w:t>资金申报表</w:t>
      </w:r>
    </w:p>
    <w:p w14:paraId="28E8188C">
      <w:pPr>
        <w:pStyle w:val="3"/>
        <w:keepNext w:val="0"/>
        <w:keepLines w:val="0"/>
        <w:pageBreakBefore w:val="0"/>
        <w:widowControl w:val="0"/>
        <w:numPr>
          <w:ilvl w:val="0"/>
          <w:numId w:val="0"/>
        </w:numPr>
        <w:tabs>
          <w:tab w:val="left" w:pos="1387"/>
        </w:tabs>
        <w:kinsoku/>
        <w:wordWrap/>
        <w:overflowPunct/>
        <w:topLinePunct w:val="0"/>
        <w:autoSpaceDE/>
        <w:autoSpaceDN/>
        <w:bidi w:val="0"/>
        <w:adjustRightInd/>
        <w:snapToGrid/>
        <w:spacing w:before="0" w:after="0" w:line="578" w:lineRule="exact"/>
        <w:ind w:firstLine="1248" w:firstLineChars="400"/>
        <w:jc w:val="both"/>
        <w:textAlignment w:val="auto"/>
        <w:rPr>
          <w:rFonts w:hint="default" w:ascii="Times New Roman" w:hAnsi="Times New Roman" w:eastAsia="仿宋_GB2312" w:cs="Times New Roman"/>
          <w:color w:val="auto"/>
          <w:spacing w:val="-4"/>
          <w:lang w:eastAsia="zh-CN"/>
        </w:rPr>
      </w:pPr>
      <w:r>
        <w:rPr>
          <w:rFonts w:hint="default" w:ascii="Times New Roman" w:hAnsi="Times New Roman" w:eastAsia="仿宋_GB2312" w:cs="Times New Roman"/>
          <w:color w:val="auto"/>
          <w:spacing w:val="-4"/>
          <w:lang w:val="en-US" w:eastAsia="zh-CN"/>
        </w:rPr>
        <w:t xml:space="preserve">1-2. </w:t>
      </w:r>
      <w:r>
        <w:rPr>
          <w:rFonts w:hint="default" w:ascii="Times New Roman" w:hAnsi="Times New Roman" w:eastAsia="仿宋_GB2312" w:cs="Times New Roman"/>
          <w:color w:val="auto"/>
          <w:spacing w:val="-4"/>
          <w:lang w:eastAsia="zh-CN"/>
        </w:rPr>
        <w:t>申报承诺书</w:t>
      </w:r>
    </w:p>
    <w:p w14:paraId="472EA79C">
      <w:pPr>
        <w:spacing w:line="578" w:lineRule="exact"/>
        <w:ind w:firstLine="420" w:firstLineChars="200"/>
        <w:rPr>
          <w:rFonts w:hint="default" w:ascii="Times New Roman" w:hAnsi="Times New Roman" w:eastAsia="仿宋_GB2312" w:cs="Times New Roman"/>
          <w:color w:val="auto"/>
        </w:rPr>
        <w:sectPr>
          <w:headerReference r:id="rId3" w:type="default"/>
          <w:footerReference r:id="rId4" w:type="default"/>
          <w:pgSz w:w="11910" w:h="16840"/>
          <w:pgMar w:top="2098" w:right="1474" w:bottom="1984" w:left="1587" w:header="0" w:footer="992" w:gutter="0"/>
          <w:cols w:space="720" w:num="1"/>
          <w:docGrid w:type="lines" w:linePitch="299" w:charSpace="0"/>
        </w:sectPr>
      </w:pPr>
    </w:p>
    <w:p w14:paraId="78E4B17C">
      <w:pPr>
        <w:pStyle w:val="3"/>
        <w:spacing w:before="0" w:after="0" w:line="578" w:lineRule="exact"/>
        <w:ind w:left="0"/>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eastAsia="zh-CN"/>
        </w:rPr>
        <w:t>附1</w:t>
      </w:r>
      <w:r>
        <w:rPr>
          <w:rFonts w:hint="default" w:ascii="Times New Roman" w:hAnsi="Times New Roman" w:eastAsia="黑体" w:cs="Times New Roman"/>
          <w:color w:val="auto"/>
          <w:lang w:val="en-US" w:eastAsia="zh-CN"/>
        </w:rPr>
        <w:t>-1</w:t>
      </w:r>
    </w:p>
    <w:p w14:paraId="3C09FCF1">
      <w:pPr>
        <w:spacing w:line="578" w:lineRule="exact"/>
        <w:rPr>
          <w:rFonts w:hint="default" w:ascii="Times New Roman" w:hAnsi="Times New Roman" w:eastAsia="黑体" w:cs="Times New Roman"/>
          <w:color w:val="auto"/>
          <w:sz w:val="20"/>
          <w:szCs w:val="20"/>
        </w:rPr>
      </w:pPr>
    </w:p>
    <w:p w14:paraId="433A9409">
      <w:pPr>
        <w:pStyle w:val="2"/>
        <w:spacing w:after="0" w:line="578" w:lineRule="exact"/>
        <w:ind w:left="0"/>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三亚市支持招徕经港澳及其他区域入境旅游团</w:t>
      </w:r>
    </w:p>
    <w:p w14:paraId="41B8D15A">
      <w:pPr>
        <w:pStyle w:val="2"/>
        <w:spacing w:after="0" w:line="578" w:lineRule="exact"/>
        <w:ind w:left="0"/>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奖励资金申报表</w:t>
      </w:r>
    </w:p>
    <w:p w14:paraId="5244BCB4">
      <w:pPr>
        <w:rPr>
          <w:rFonts w:hint="default"/>
          <w:color w:val="auto"/>
          <w:lang w:eastAsia="zh-CN"/>
        </w:rPr>
      </w:pPr>
    </w:p>
    <w:p w14:paraId="47EE9B47">
      <w:pPr>
        <w:tabs>
          <w:tab w:val="left" w:pos="1559"/>
          <w:tab w:val="left" w:pos="2039"/>
          <w:tab w:val="left" w:pos="2519"/>
        </w:tabs>
        <w:spacing w:line="578" w:lineRule="exact"/>
        <w:ind w:right="15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填报时间</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日</w:t>
      </w:r>
    </w:p>
    <w:tbl>
      <w:tblPr>
        <w:tblStyle w:val="7"/>
        <w:tblW w:w="8989" w:type="dxa"/>
        <w:jc w:val="center"/>
        <w:tblLayout w:type="fixed"/>
        <w:tblCellMar>
          <w:top w:w="0" w:type="dxa"/>
          <w:left w:w="0" w:type="dxa"/>
          <w:bottom w:w="0" w:type="dxa"/>
          <w:right w:w="0" w:type="dxa"/>
        </w:tblCellMar>
      </w:tblPr>
      <w:tblGrid>
        <w:gridCol w:w="2689"/>
        <w:gridCol w:w="6300"/>
      </w:tblGrid>
      <w:tr w14:paraId="25ECF5EB">
        <w:tblPrEx>
          <w:tblCellMar>
            <w:top w:w="0" w:type="dxa"/>
            <w:left w:w="0" w:type="dxa"/>
            <w:bottom w:w="0" w:type="dxa"/>
            <w:right w:w="0" w:type="dxa"/>
          </w:tblCellMar>
        </w:tblPrEx>
        <w:trPr>
          <w:trHeight w:val="471" w:hRule="exact"/>
          <w:jc w:val="center"/>
        </w:trPr>
        <w:tc>
          <w:tcPr>
            <w:tcW w:w="2689" w:type="dxa"/>
            <w:tcBorders>
              <w:top w:val="single" w:color="000000" w:sz="4" w:space="0"/>
              <w:left w:val="single" w:color="000000" w:sz="4" w:space="0"/>
              <w:bottom w:val="single" w:color="000000" w:sz="4" w:space="0"/>
              <w:right w:val="single" w:color="000000" w:sz="4" w:space="0"/>
            </w:tcBorders>
            <w:vAlign w:val="center"/>
          </w:tcPr>
          <w:p w14:paraId="72E1F125">
            <w:pPr>
              <w:pStyle w:val="16"/>
              <w:spacing w:after="0" w:line="400" w:lineRule="exact"/>
              <w:ind w:left="512"/>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申报</w:t>
            </w:r>
            <w:r>
              <w:rPr>
                <w:rFonts w:hint="eastAsia" w:ascii="Times New Roman" w:hAnsi="Times New Roman" w:eastAsia="宋体" w:cs="Times New Roman"/>
                <w:color w:val="auto"/>
                <w:sz w:val="24"/>
                <w:szCs w:val="24"/>
                <w:lang w:val="en-US" w:eastAsia="zh-CN"/>
              </w:rPr>
              <w:t>单位</w:t>
            </w:r>
          </w:p>
        </w:tc>
        <w:tc>
          <w:tcPr>
            <w:tcW w:w="6300" w:type="dxa"/>
            <w:tcBorders>
              <w:top w:val="single" w:color="000000" w:sz="4" w:space="0"/>
              <w:left w:val="single" w:color="000000" w:sz="4" w:space="0"/>
              <w:bottom w:val="single" w:color="000000" w:sz="4" w:space="0"/>
              <w:right w:val="single" w:color="000000" w:sz="4" w:space="0"/>
            </w:tcBorders>
            <w:vAlign w:val="center"/>
          </w:tcPr>
          <w:p w14:paraId="1652FF3D">
            <w:pPr>
              <w:spacing w:line="400" w:lineRule="exact"/>
              <w:rPr>
                <w:rFonts w:hint="default" w:ascii="Times New Roman" w:hAnsi="Times New Roman" w:cs="Times New Roman"/>
                <w:color w:val="auto"/>
              </w:rPr>
            </w:pPr>
          </w:p>
        </w:tc>
      </w:tr>
      <w:tr w14:paraId="7BEFBE7D">
        <w:tblPrEx>
          <w:tblCellMar>
            <w:top w:w="0" w:type="dxa"/>
            <w:left w:w="0" w:type="dxa"/>
            <w:bottom w:w="0" w:type="dxa"/>
            <w:right w:w="0" w:type="dxa"/>
          </w:tblCellMar>
        </w:tblPrEx>
        <w:trPr>
          <w:trHeight w:val="596" w:hRule="exact"/>
          <w:jc w:val="center"/>
        </w:trPr>
        <w:tc>
          <w:tcPr>
            <w:tcW w:w="2689" w:type="dxa"/>
            <w:tcBorders>
              <w:top w:val="single" w:color="000000" w:sz="4" w:space="0"/>
              <w:left w:val="single" w:color="000000" w:sz="4" w:space="0"/>
              <w:bottom w:val="single" w:color="000000" w:sz="4" w:space="0"/>
              <w:right w:val="single" w:color="000000" w:sz="4" w:space="0"/>
            </w:tcBorders>
            <w:vAlign w:val="center"/>
          </w:tcPr>
          <w:p w14:paraId="182A7AE8">
            <w:pPr>
              <w:pStyle w:val="16"/>
              <w:spacing w:after="0" w:line="400" w:lineRule="exact"/>
              <w:ind w:left="512"/>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申报季度</w:t>
            </w:r>
          </w:p>
        </w:tc>
        <w:tc>
          <w:tcPr>
            <w:tcW w:w="6300" w:type="dxa"/>
            <w:tcBorders>
              <w:top w:val="single" w:color="000000" w:sz="4" w:space="0"/>
              <w:left w:val="single" w:color="000000" w:sz="4" w:space="0"/>
              <w:bottom w:val="single" w:color="000000" w:sz="4" w:space="0"/>
              <w:right w:val="single" w:color="000000" w:sz="4" w:space="0"/>
            </w:tcBorders>
            <w:vAlign w:val="center"/>
          </w:tcPr>
          <w:p w14:paraId="0D549C57">
            <w:pPr>
              <w:tabs>
                <w:tab w:val="left" w:pos="834"/>
              </w:tabs>
              <w:spacing w:line="400" w:lineRule="exact"/>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eastAsia="zh-CN"/>
              </w:rPr>
              <w:tab/>
            </w:r>
            <w:r>
              <w:rPr>
                <w:rFonts w:hint="eastAsia" w:ascii="Times New Roman" w:hAnsi="Times New Roman" w:cs="Times New Roman"/>
                <w:color w:val="auto"/>
                <w:lang w:val="en-US" w:eastAsia="zh-CN"/>
              </w:rPr>
              <w:t xml:space="preserve">202 </w:t>
            </w:r>
            <w:r>
              <w:rPr>
                <w:rFonts w:hint="default" w:ascii="Times New Roman" w:hAnsi="Times New Roman" w:eastAsia="宋体" w:cs="Times New Roman"/>
                <w:color w:val="auto"/>
                <w:sz w:val="24"/>
                <w:szCs w:val="24"/>
                <w:u w:val="single"/>
              </w:rPr>
              <w:t xml:space="preserve">      </w:t>
            </w:r>
            <w:r>
              <w:rPr>
                <w:rFonts w:hint="eastAsia" w:ascii="Times New Roman" w:hAnsi="Times New Roman" w:cs="Times New Roman"/>
                <w:color w:val="auto"/>
                <w:lang w:val="en-US" w:eastAsia="zh-CN"/>
              </w:rPr>
              <w:t>年第</w:t>
            </w:r>
            <w:r>
              <w:rPr>
                <w:rFonts w:hint="default" w:ascii="Times New Roman" w:hAnsi="Times New Roman" w:eastAsia="宋体" w:cs="Times New Roman"/>
                <w:color w:val="auto"/>
                <w:sz w:val="24"/>
                <w:szCs w:val="24"/>
                <w:u w:val="single"/>
              </w:rPr>
              <w:t xml:space="preserve">      </w:t>
            </w:r>
            <w:r>
              <w:rPr>
                <w:rFonts w:hint="eastAsia" w:ascii="Times New Roman" w:hAnsi="Times New Roman" w:cs="Times New Roman"/>
                <w:color w:val="auto"/>
                <w:lang w:val="en-US" w:eastAsia="zh-CN"/>
              </w:rPr>
              <w:t>季度</w:t>
            </w:r>
          </w:p>
        </w:tc>
      </w:tr>
      <w:tr w14:paraId="34CB799D">
        <w:tblPrEx>
          <w:tblCellMar>
            <w:top w:w="0" w:type="dxa"/>
            <w:left w:w="0" w:type="dxa"/>
            <w:bottom w:w="0" w:type="dxa"/>
            <w:right w:w="0" w:type="dxa"/>
          </w:tblCellMar>
        </w:tblPrEx>
        <w:trPr>
          <w:trHeight w:val="421" w:hRule="exact"/>
          <w:jc w:val="center"/>
        </w:trPr>
        <w:tc>
          <w:tcPr>
            <w:tcW w:w="2689" w:type="dxa"/>
            <w:tcBorders>
              <w:top w:val="single" w:color="000000" w:sz="4" w:space="0"/>
              <w:left w:val="single" w:color="000000" w:sz="4" w:space="0"/>
              <w:bottom w:val="single" w:color="000000" w:sz="4" w:space="0"/>
              <w:right w:val="single" w:color="000000" w:sz="4" w:space="0"/>
            </w:tcBorders>
            <w:vAlign w:val="center"/>
          </w:tcPr>
          <w:p w14:paraId="1E0F583D">
            <w:pPr>
              <w:pStyle w:val="16"/>
              <w:spacing w:after="0" w:line="400" w:lineRule="exact"/>
              <w:ind w:left="51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联系人及电话</w:t>
            </w:r>
          </w:p>
        </w:tc>
        <w:tc>
          <w:tcPr>
            <w:tcW w:w="6300" w:type="dxa"/>
            <w:tcBorders>
              <w:top w:val="single" w:color="000000" w:sz="4" w:space="0"/>
              <w:left w:val="single" w:color="000000" w:sz="4" w:space="0"/>
              <w:bottom w:val="single" w:color="000000" w:sz="4" w:space="0"/>
              <w:right w:val="single" w:color="000000" w:sz="4" w:space="0"/>
            </w:tcBorders>
            <w:vAlign w:val="center"/>
          </w:tcPr>
          <w:p w14:paraId="5B496D9A">
            <w:pPr>
              <w:spacing w:line="400" w:lineRule="exact"/>
              <w:rPr>
                <w:rFonts w:hint="default" w:ascii="Times New Roman" w:hAnsi="Times New Roman" w:cs="Times New Roman"/>
                <w:color w:val="auto"/>
              </w:rPr>
            </w:pPr>
          </w:p>
        </w:tc>
      </w:tr>
      <w:tr w14:paraId="5D2EFD00">
        <w:tblPrEx>
          <w:tblCellMar>
            <w:top w:w="0" w:type="dxa"/>
            <w:left w:w="0" w:type="dxa"/>
            <w:bottom w:w="0" w:type="dxa"/>
            <w:right w:w="0" w:type="dxa"/>
          </w:tblCellMar>
        </w:tblPrEx>
        <w:trPr>
          <w:trHeight w:val="440" w:hRule="exact"/>
          <w:jc w:val="center"/>
        </w:trPr>
        <w:tc>
          <w:tcPr>
            <w:tcW w:w="2689" w:type="dxa"/>
            <w:tcBorders>
              <w:top w:val="single" w:color="000000" w:sz="4" w:space="0"/>
              <w:left w:val="single" w:color="000000" w:sz="4" w:space="0"/>
              <w:bottom w:val="single" w:color="000000" w:sz="4" w:space="0"/>
              <w:right w:val="single" w:color="000000" w:sz="4" w:space="0"/>
            </w:tcBorders>
            <w:vAlign w:val="center"/>
          </w:tcPr>
          <w:p w14:paraId="2C6FB143">
            <w:pPr>
              <w:pStyle w:val="16"/>
              <w:spacing w:after="0" w:line="400" w:lineRule="exact"/>
              <w:ind w:left="27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统一社会信用代码</w:t>
            </w:r>
          </w:p>
        </w:tc>
        <w:tc>
          <w:tcPr>
            <w:tcW w:w="6300" w:type="dxa"/>
            <w:tcBorders>
              <w:top w:val="single" w:color="000000" w:sz="4" w:space="0"/>
              <w:left w:val="single" w:color="000000" w:sz="4" w:space="0"/>
              <w:bottom w:val="single" w:color="000000" w:sz="4" w:space="0"/>
              <w:right w:val="single" w:color="000000" w:sz="4" w:space="0"/>
            </w:tcBorders>
            <w:vAlign w:val="center"/>
          </w:tcPr>
          <w:p w14:paraId="503292A2">
            <w:pPr>
              <w:spacing w:line="400" w:lineRule="exact"/>
              <w:rPr>
                <w:rFonts w:hint="default" w:ascii="Times New Roman" w:hAnsi="Times New Roman" w:cs="Times New Roman"/>
                <w:color w:val="auto"/>
              </w:rPr>
            </w:pPr>
          </w:p>
        </w:tc>
      </w:tr>
      <w:tr w14:paraId="140F1065">
        <w:tblPrEx>
          <w:tblCellMar>
            <w:top w:w="0" w:type="dxa"/>
            <w:left w:w="0" w:type="dxa"/>
            <w:bottom w:w="0" w:type="dxa"/>
            <w:right w:w="0" w:type="dxa"/>
          </w:tblCellMar>
        </w:tblPrEx>
        <w:trPr>
          <w:trHeight w:val="418" w:hRule="exact"/>
          <w:jc w:val="center"/>
        </w:trPr>
        <w:tc>
          <w:tcPr>
            <w:tcW w:w="2689" w:type="dxa"/>
            <w:tcBorders>
              <w:top w:val="single" w:color="000000" w:sz="4" w:space="0"/>
              <w:left w:val="single" w:color="000000" w:sz="4" w:space="0"/>
              <w:bottom w:val="single" w:color="000000" w:sz="4" w:space="0"/>
              <w:right w:val="single" w:color="000000" w:sz="4" w:space="0"/>
            </w:tcBorders>
            <w:vAlign w:val="center"/>
          </w:tcPr>
          <w:p w14:paraId="783188BF">
            <w:pPr>
              <w:pStyle w:val="16"/>
              <w:spacing w:after="0" w:line="400" w:lineRule="exact"/>
              <w:ind w:left="152"/>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企业开户银行及账</w:t>
            </w:r>
            <w:r>
              <w:rPr>
                <w:rFonts w:hint="default" w:ascii="Times New Roman" w:hAnsi="Times New Roman" w:eastAsia="宋体" w:cs="Times New Roman"/>
                <w:color w:val="auto"/>
                <w:sz w:val="24"/>
                <w:szCs w:val="24"/>
                <w:lang w:eastAsia="zh-CN"/>
              </w:rPr>
              <w:t>号</w:t>
            </w:r>
          </w:p>
        </w:tc>
        <w:tc>
          <w:tcPr>
            <w:tcW w:w="6300" w:type="dxa"/>
            <w:tcBorders>
              <w:top w:val="single" w:color="000000" w:sz="4" w:space="0"/>
              <w:left w:val="single" w:color="000000" w:sz="4" w:space="0"/>
              <w:bottom w:val="single" w:color="000000" w:sz="4" w:space="0"/>
              <w:right w:val="single" w:color="000000" w:sz="4" w:space="0"/>
            </w:tcBorders>
            <w:vAlign w:val="center"/>
          </w:tcPr>
          <w:p w14:paraId="19982A9A">
            <w:pPr>
              <w:spacing w:line="400" w:lineRule="exact"/>
              <w:rPr>
                <w:rFonts w:hint="default" w:ascii="Times New Roman" w:hAnsi="Times New Roman" w:cs="Times New Roman"/>
                <w:color w:val="auto"/>
              </w:rPr>
            </w:pPr>
          </w:p>
        </w:tc>
      </w:tr>
      <w:tr w14:paraId="623141FD">
        <w:tblPrEx>
          <w:tblCellMar>
            <w:top w:w="0" w:type="dxa"/>
            <w:left w:w="0" w:type="dxa"/>
            <w:bottom w:w="0" w:type="dxa"/>
            <w:right w:w="0" w:type="dxa"/>
          </w:tblCellMar>
        </w:tblPrEx>
        <w:trPr>
          <w:trHeight w:val="1266" w:hRule="atLeast"/>
          <w:jc w:val="center"/>
        </w:trPr>
        <w:tc>
          <w:tcPr>
            <w:tcW w:w="2689" w:type="dxa"/>
            <w:tcBorders>
              <w:left w:val="single" w:color="000000" w:sz="4" w:space="0"/>
              <w:bottom w:val="single" w:color="000000" w:sz="4" w:space="0"/>
              <w:right w:val="single" w:color="000000" w:sz="4" w:space="0"/>
            </w:tcBorders>
            <w:vAlign w:val="center"/>
          </w:tcPr>
          <w:p w14:paraId="746946B3">
            <w:pPr>
              <w:pStyle w:val="16"/>
              <w:spacing w:after="0" w:line="400" w:lineRule="exact"/>
              <w:ind w:left="272"/>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旅行社招徕经</w:t>
            </w:r>
            <w:r>
              <w:rPr>
                <w:rFonts w:hint="default" w:ascii="Times New Roman" w:hAnsi="Times New Roman" w:eastAsia="宋体" w:cs="Times New Roman"/>
                <w:color w:val="auto"/>
                <w:sz w:val="24"/>
                <w:szCs w:val="24"/>
              </w:rPr>
              <w:t>港澳</w:t>
            </w:r>
            <w:r>
              <w:rPr>
                <w:rFonts w:hint="default" w:ascii="Times New Roman" w:hAnsi="Times New Roman" w:eastAsia="宋体" w:cs="Times New Roman"/>
                <w:color w:val="auto"/>
                <w:sz w:val="24"/>
                <w:szCs w:val="24"/>
                <w:lang w:eastAsia="zh-CN"/>
              </w:rPr>
              <w:t>及其他区域入境旅游团人次</w:t>
            </w:r>
          </w:p>
        </w:tc>
        <w:tc>
          <w:tcPr>
            <w:tcW w:w="6300" w:type="dxa"/>
            <w:tcBorders>
              <w:top w:val="single" w:color="000000" w:sz="4" w:space="0"/>
              <w:left w:val="single" w:color="000000" w:sz="4" w:space="0"/>
              <w:bottom w:val="single" w:color="000000" w:sz="4" w:space="0"/>
              <w:right w:val="single" w:color="000000" w:sz="4" w:space="0"/>
            </w:tcBorders>
            <w:vAlign w:val="center"/>
          </w:tcPr>
          <w:p w14:paraId="4440947A">
            <w:pPr>
              <w:spacing w:line="400" w:lineRule="exact"/>
              <w:ind w:firstLine="24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XXXX人次</w:t>
            </w:r>
          </w:p>
        </w:tc>
      </w:tr>
      <w:tr w14:paraId="537A9178">
        <w:tblPrEx>
          <w:tblCellMar>
            <w:top w:w="0" w:type="dxa"/>
            <w:left w:w="0" w:type="dxa"/>
            <w:bottom w:w="0" w:type="dxa"/>
            <w:right w:w="0" w:type="dxa"/>
          </w:tblCellMar>
        </w:tblPrEx>
        <w:trPr>
          <w:trHeight w:val="1520"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14:paraId="7B656A61">
            <w:pPr>
              <w:pStyle w:val="16"/>
              <w:spacing w:after="0" w:line="400" w:lineRule="exact"/>
              <w:ind w:left="272"/>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旅行社招徕经</w:t>
            </w:r>
            <w:r>
              <w:rPr>
                <w:rFonts w:hint="default" w:ascii="Times New Roman" w:hAnsi="Times New Roman" w:eastAsia="宋体" w:cs="Times New Roman"/>
                <w:color w:val="auto"/>
                <w:sz w:val="24"/>
                <w:szCs w:val="24"/>
              </w:rPr>
              <w:t>港澳</w:t>
            </w:r>
            <w:r>
              <w:rPr>
                <w:rFonts w:hint="default" w:ascii="Times New Roman" w:hAnsi="Times New Roman" w:eastAsia="宋体" w:cs="Times New Roman"/>
                <w:color w:val="auto"/>
                <w:sz w:val="24"/>
                <w:szCs w:val="24"/>
                <w:lang w:eastAsia="zh-CN"/>
              </w:rPr>
              <w:t>及其他区域入境旅游团奖励资金（元）</w:t>
            </w:r>
          </w:p>
        </w:tc>
        <w:tc>
          <w:tcPr>
            <w:tcW w:w="6300" w:type="dxa"/>
            <w:tcBorders>
              <w:top w:val="single" w:color="000000" w:sz="4" w:space="0"/>
              <w:left w:val="single" w:color="000000" w:sz="4" w:space="0"/>
              <w:bottom w:val="single" w:color="000000" w:sz="4" w:space="0"/>
              <w:right w:val="single" w:color="000000" w:sz="4" w:space="0"/>
            </w:tcBorders>
            <w:vAlign w:val="center"/>
          </w:tcPr>
          <w:p w14:paraId="383BFC16">
            <w:pPr>
              <w:spacing w:line="400" w:lineRule="exact"/>
              <w:rPr>
                <w:rFonts w:hint="default" w:ascii="Times New Roman" w:hAnsi="Times New Roman" w:cs="Times New Roman"/>
                <w:color w:val="auto"/>
              </w:rPr>
            </w:pPr>
          </w:p>
          <w:p w14:paraId="33D7A717">
            <w:pPr>
              <w:spacing w:line="400" w:lineRule="exact"/>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sz w:val="24"/>
                <w:szCs w:val="24"/>
              </w:rPr>
              <w:t>总计</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元。</w:t>
            </w:r>
          </w:p>
        </w:tc>
      </w:tr>
      <w:tr w14:paraId="05DF88D9">
        <w:tblPrEx>
          <w:tblCellMar>
            <w:top w:w="0" w:type="dxa"/>
            <w:left w:w="0" w:type="dxa"/>
            <w:bottom w:w="0" w:type="dxa"/>
            <w:right w:w="0" w:type="dxa"/>
          </w:tblCellMar>
        </w:tblPrEx>
        <w:trPr>
          <w:trHeight w:val="3191" w:hRule="exact"/>
          <w:jc w:val="center"/>
        </w:trPr>
        <w:tc>
          <w:tcPr>
            <w:tcW w:w="2689" w:type="dxa"/>
            <w:tcBorders>
              <w:top w:val="single" w:color="000000" w:sz="4" w:space="0"/>
              <w:left w:val="single" w:color="000000" w:sz="4" w:space="0"/>
              <w:bottom w:val="single" w:color="000000" w:sz="4" w:space="0"/>
              <w:right w:val="single" w:color="000000" w:sz="4" w:space="0"/>
            </w:tcBorders>
            <w:vAlign w:val="center"/>
          </w:tcPr>
          <w:p w14:paraId="5979A587">
            <w:pPr>
              <w:pStyle w:val="16"/>
              <w:spacing w:after="0" w:line="400" w:lineRule="exact"/>
              <w:ind w:left="51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申请单位意见</w:t>
            </w:r>
          </w:p>
        </w:tc>
        <w:tc>
          <w:tcPr>
            <w:tcW w:w="6300" w:type="dxa"/>
            <w:tcBorders>
              <w:top w:val="single" w:color="000000" w:sz="4" w:space="0"/>
              <w:left w:val="single" w:color="000000" w:sz="4" w:space="0"/>
              <w:bottom w:val="single" w:color="000000" w:sz="4" w:space="0"/>
              <w:right w:val="single" w:color="000000" w:sz="4" w:space="0"/>
            </w:tcBorders>
            <w:vAlign w:val="center"/>
          </w:tcPr>
          <w:p w14:paraId="2E6ABE45">
            <w:pPr>
              <w:pStyle w:val="16"/>
              <w:spacing w:after="0" w:line="400" w:lineRule="exact"/>
              <w:ind w:left="101" w:right="-18" w:firstLine="48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pacing w:val="-3"/>
                <w:sz w:val="24"/>
                <w:szCs w:val="24"/>
                <w:lang w:eastAsia="zh-CN"/>
              </w:rPr>
              <w:t>我单位承诺，对本申报表和所附材料的真实性、完整性、</w:t>
            </w:r>
            <w:r>
              <w:rPr>
                <w:rFonts w:hint="default" w:ascii="Times New Roman" w:hAnsi="Times New Roman" w:eastAsia="宋体" w:cs="Times New Roman"/>
                <w:color w:val="auto"/>
                <w:sz w:val="24"/>
                <w:szCs w:val="24"/>
                <w:lang w:eastAsia="zh-CN"/>
              </w:rPr>
              <w:t>合法性和有效性负责。</w:t>
            </w:r>
          </w:p>
          <w:p w14:paraId="22C8D72A">
            <w:pPr>
              <w:pStyle w:val="16"/>
              <w:spacing w:after="0" w:line="400" w:lineRule="exact"/>
              <w:ind w:left="101" w:right="-18" w:firstLine="480"/>
              <w:rPr>
                <w:rFonts w:hint="default" w:ascii="Times New Roman" w:hAnsi="Times New Roman" w:eastAsia="宋体" w:cs="Times New Roman"/>
                <w:color w:val="auto"/>
                <w:sz w:val="24"/>
                <w:szCs w:val="24"/>
                <w:lang w:eastAsia="zh-CN"/>
              </w:rPr>
            </w:pPr>
          </w:p>
          <w:p w14:paraId="5443A507">
            <w:pPr>
              <w:pStyle w:val="16"/>
              <w:wordWrap w:val="0"/>
              <w:spacing w:after="0" w:line="400" w:lineRule="exact"/>
              <w:ind w:left="101" w:right="-18" w:firstLine="480"/>
              <w:jc w:val="righ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 xml:space="preserve">法定代表人签名：           </w:t>
            </w:r>
          </w:p>
          <w:p w14:paraId="3923D02E">
            <w:pPr>
              <w:pStyle w:val="16"/>
              <w:wordWrap w:val="0"/>
              <w:spacing w:after="0" w:line="400" w:lineRule="exact"/>
              <w:ind w:left="101" w:right="-18" w:firstLine="480"/>
              <w:jc w:val="righ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 xml:space="preserve">企业公章：                 </w:t>
            </w:r>
          </w:p>
          <w:p w14:paraId="4201DE68">
            <w:pPr>
              <w:pStyle w:val="16"/>
              <w:tabs>
                <w:tab w:val="left" w:pos="4301"/>
                <w:tab w:val="left" w:pos="5021"/>
              </w:tabs>
              <w:spacing w:after="0" w:line="400" w:lineRule="exact"/>
              <w:ind w:left="358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日</w:t>
            </w:r>
          </w:p>
        </w:tc>
      </w:tr>
    </w:tbl>
    <w:p w14:paraId="0FBE4FFC">
      <w:pPr>
        <w:spacing w:line="578" w:lineRule="exact"/>
        <w:ind w:left="437"/>
        <w:rPr>
          <w:rFonts w:hint="default" w:ascii="Times New Roman" w:hAnsi="Times New Roman" w:eastAsia="宋体" w:cs="Times New Roman"/>
          <w:color w:val="auto"/>
          <w:szCs w:val="21"/>
        </w:rPr>
      </w:pPr>
    </w:p>
    <w:p w14:paraId="71699255">
      <w:pPr>
        <w:spacing w:line="578" w:lineRule="exact"/>
        <w:rPr>
          <w:rFonts w:hint="default" w:ascii="Times New Roman" w:hAnsi="Times New Roman" w:eastAsia="宋体" w:cs="Times New Roman"/>
          <w:color w:val="auto"/>
          <w:szCs w:val="21"/>
        </w:rPr>
        <w:sectPr>
          <w:headerReference r:id="rId6" w:type="first"/>
          <w:footerReference r:id="rId8" w:type="first"/>
          <w:headerReference r:id="rId5" w:type="default"/>
          <w:footerReference r:id="rId7" w:type="default"/>
          <w:pgSz w:w="11910" w:h="16840"/>
          <w:pgMar w:top="2098" w:right="1474" w:bottom="1984" w:left="1587" w:header="0" w:footer="992" w:gutter="0"/>
          <w:cols w:space="720" w:num="1"/>
          <w:docGrid w:type="lines" w:linePitch="299" w:charSpace="0"/>
        </w:sectPr>
      </w:pPr>
    </w:p>
    <w:p w14:paraId="7A5FD5EA">
      <w:pPr>
        <w:pStyle w:val="3"/>
        <w:spacing w:before="0" w:after="0" w:line="578" w:lineRule="exact"/>
        <w:ind w:left="0" w:right="324"/>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附</w:t>
      </w:r>
      <w:r>
        <w:rPr>
          <w:rFonts w:hint="default" w:ascii="Times New Roman" w:hAnsi="Times New Roman" w:eastAsia="黑体" w:cs="Times New Roman"/>
          <w:color w:val="auto"/>
          <w:lang w:val="en-US" w:eastAsia="zh-CN"/>
        </w:rPr>
        <w:t>1-</w:t>
      </w:r>
      <w:r>
        <w:rPr>
          <w:rFonts w:hint="default" w:ascii="Times New Roman" w:hAnsi="Times New Roman" w:eastAsia="黑体" w:cs="Times New Roman"/>
          <w:color w:val="auto"/>
          <w:lang w:eastAsia="zh-CN"/>
        </w:rPr>
        <w:t>2</w:t>
      </w:r>
    </w:p>
    <w:p w14:paraId="29B269D7">
      <w:pPr>
        <w:pStyle w:val="2"/>
        <w:spacing w:after="0" w:line="578" w:lineRule="exact"/>
        <w:ind w:right="66"/>
        <w:jc w:val="center"/>
        <w:rPr>
          <w:rFonts w:hint="default" w:ascii="Times New Roman" w:hAnsi="Times New Roman" w:cs="Times New Roman"/>
          <w:color w:val="auto"/>
          <w:lang w:eastAsia="zh-CN"/>
        </w:rPr>
      </w:pPr>
      <w:r>
        <w:rPr>
          <w:rFonts w:hint="default" w:ascii="Times New Roman" w:hAnsi="Times New Roman" w:cs="Times New Roman"/>
          <w:color w:val="auto"/>
          <w:spacing w:val="-4"/>
          <w:lang w:eastAsia="zh-CN"/>
        </w:rPr>
        <w:t>申报承诺书</w:t>
      </w:r>
    </w:p>
    <w:p w14:paraId="2771A1F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FangSong_GB2312" w:cs="Times New Roman"/>
          <w:color w:val="auto"/>
          <w:spacing w:val="-4"/>
          <w:w w:val="95"/>
          <w:sz w:val="32"/>
          <w:szCs w:val="32"/>
        </w:rPr>
      </w:pPr>
    </w:p>
    <w:p w14:paraId="087BDCC4">
      <w:pPr>
        <w:pStyle w:val="3"/>
        <w:keepNext w:val="0"/>
        <w:keepLines w:val="0"/>
        <w:pageBreakBefore w:val="0"/>
        <w:widowControl w:val="0"/>
        <w:kinsoku/>
        <w:wordWrap/>
        <w:overflowPunct/>
        <w:topLinePunct w:val="0"/>
        <w:autoSpaceDE/>
        <w:autoSpaceDN/>
        <w:bidi w:val="0"/>
        <w:adjustRightInd/>
        <w:snapToGrid/>
        <w:spacing w:before="0" w:after="0" w:line="578" w:lineRule="exact"/>
        <w:ind w:firstLine="616" w:firstLineChars="200"/>
        <w:jc w:val="both"/>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我企业</w:t>
      </w:r>
      <w:r>
        <w:rPr>
          <w:rFonts w:hint="eastAsia" w:ascii="仿宋_GB2312" w:hAnsi="仿宋_GB2312" w:eastAsia="仿宋_GB2312" w:cs="仿宋_GB2312"/>
          <w:color w:val="auto"/>
          <w:spacing w:val="-6"/>
          <w:sz w:val="32"/>
          <w:szCs w:val="32"/>
          <w:u w:val="single"/>
          <w:lang w:eastAsia="zh-CN"/>
        </w:rPr>
        <w:t xml:space="preserve">                 </w:t>
      </w:r>
      <w:r>
        <w:rPr>
          <w:rFonts w:hint="eastAsia" w:ascii="仿宋_GB2312" w:hAnsi="仿宋_GB2312" w:eastAsia="仿宋_GB2312" w:cs="仿宋_GB2312"/>
          <w:color w:val="auto"/>
          <w:spacing w:val="-6"/>
          <w:sz w:val="32"/>
          <w:szCs w:val="32"/>
          <w:lang w:eastAsia="zh-CN"/>
        </w:rPr>
        <w:t>（全称）</w:t>
      </w:r>
      <w:r>
        <w:rPr>
          <w:rFonts w:hint="eastAsia" w:ascii="仿宋_GB2312" w:hAnsi="仿宋_GB2312" w:eastAsia="仿宋_GB2312" w:cs="仿宋_GB2312"/>
          <w:color w:val="auto"/>
          <w:spacing w:val="-6"/>
          <w:sz w:val="32"/>
          <w:szCs w:val="32"/>
          <w:u w:val="single"/>
          <w:lang w:eastAsia="zh-CN"/>
        </w:rPr>
        <w:t xml:space="preserve">                 </w:t>
      </w:r>
      <w:r>
        <w:rPr>
          <w:rFonts w:hint="eastAsia" w:ascii="仿宋_GB2312" w:hAnsi="仿宋_GB2312" w:eastAsia="仿宋_GB2312" w:cs="仿宋_GB2312"/>
          <w:color w:val="auto"/>
          <w:spacing w:val="-6"/>
          <w:sz w:val="32"/>
          <w:szCs w:val="32"/>
          <w:lang w:eastAsia="zh-CN"/>
        </w:rPr>
        <w:t>（统一社会信用代码），于</w:t>
      </w:r>
      <w:r>
        <w:rPr>
          <w:rFonts w:hint="eastAsia" w:ascii="仿宋_GB2312" w:hAnsi="仿宋_GB2312" w:eastAsia="仿宋_GB2312" w:cs="仿宋_GB2312"/>
          <w:color w:val="auto"/>
          <w:spacing w:val="-6"/>
          <w:sz w:val="32"/>
          <w:szCs w:val="32"/>
          <w:u w:val="single"/>
          <w:lang w:eastAsia="zh-CN"/>
        </w:rPr>
        <w:t xml:space="preserve">    </w:t>
      </w:r>
      <w:r>
        <w:rPr>
          <w:rFonts w:hint="eastAsia" w:ascii="仿宋_GB2312" w:hAnsi="仿宋_GB2312" w:eastAsia="仿宋_GB2312" w:cs="仿宋_GB2312"/>
          <w:color w:val="auto"/>
          <w:spacing w:val="-6"/>
          <w:sz w:val="32"/>
          <w:szCs w:val="32"/>
          <w:lang w:eastAsia="zh-CN"/>
        </w:rPr>
        <w:t>年</w:t>
      </w:r>
      <w:r>
        <w:rPr>
          <w:rFonts w:hint="eastAsia" w:ascii="仿宋_GB2312" w:hAnsi="仿宋_GB2312" w:eastAsia="仿宋_GB2312" w:cs="仿宋_GB2312"/>
          <w:color w:val="auto"/>
          <w:spacing w:val="-6"/>
          <w:sz w:val="32"/>
          <w:szCs w:val="32"/>
          <w:u w:val="single"/>
          <w:lang w:eastAsia="zh-CN"/>
        </w:rPr>
        <w:t xml:space="preserve">    </w:t>
      </w:r>
      <w:r>
        <w:rPr>
          <w:rFonts w:hint="eastAsia" w:ascii="仿宋_GB2312" w:hAnsi="仿宋_GB2312" w:eastAsia="仿宋_GB2312" w:cs="仿宋_GB2312"/>
          <w:color w:val="auto"/>
          <w:spacing w:val="-6"/>
          <w:sz w:val="32"/>
          <w:szCs w:val="32"/>
          <w:lang w:eastAsia="zh-CN"/>
        </w:rPr>
        <w:t>月</w:t>
      </w:r>
      <w:r>
        <w:rPr>
          <w:rFonts w:hint="eastAsia" w:ascii="仿宋_GB2312" w:hAnsi="仿宋_GB2312" w:eastAsia="仿宋_GB2312" w:cs="仿宋_GB2312"/>
          <w:color w:val="auto"/>
          <w:spacing w:val="-6"/>
          <w:sz w:val="32"/>
          <w:szCs w:val="32"/>
          <w:u w:val="single"/>
          <w:lang w:eastAsia="zh-CN"/>
        </w:rPr>
        <w:t xml:space="preserve">    </w:t>
      </w:r>
      <w:r>
        <w:rPr>
          <w:rFonts w:hint="eastAsia" w:ascii="仿宋_GB2312" w:hAnsi="仿宋_GB2312" w:eastAsia="仿宋_GB2312" w:cs="仿宋_GB2312"/>
          <w:color w:val="auto"/>
          <w:spacing w:val="-6"/>
          <w:sz w:val="32"/>
          <w:szCs w:val="32"/>
          <w:lang w:eastAsia="zh-CN"/>
        </w:rPr>
        <w:t>日申报三亚市支持招徕经</w:t>
      </w:r>
      <w:r>
        <w:rPr>
          <w:rFonts w:hint="default" w:ascii="Times New Roman" w:hAnsi="Times New Roman" w:eastAsia="仿宋_GB2312" w:cs="Times New Roman"/>
          <w:color w:val="auto"/>
          <w:sz w:val="32"/>
          <w:szCs w:val="32"/>
        </w:rPr>
        <w:t>港澳</w:t>
      </w:r>
      <w:r>
        <w:rPr>
          <w:rFonts w:hint="eastAsia" w:ascii="Times New Roman" w:hAnsi="Times New Roman" w:eastAsia="仿宋_GB2312" w:cs="Times New Roman"/>
          <w:color w:val="auto"/>
          <w:sz w:val="32"/>
          <w:szCs w:val="32"/>
          <w:lang w:eastAsia="zh-CN"/>
        </w:rPr>
        <w:t>及其他区域</w:t>
      </w:r>
      <w:r>
        <w:rPr>
          <w:rFonts w:hint="eastAsia" w:ascii="仿宋_GB2312" w:hAnsi="仿宋_GB2312" w:eastAsia="仿宋_GB2312" w:cs="仿宋_GB2312"/>
          <w:color w:val="auto"/>
          <w:spacing w:val="-6"/>
          <w:sz w:val="32"/>
          <w:szCs w:val="32"/>
          <w:lang w:eastAsia="zh-CN"/>
        </w:rPr>
        <w:t>入境旅游团奖励资金事宜，我单位郑重承诺：</w:t>
      </w:r>
    </w:p>
    <w:p w14:paraId="0E0F2C90">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16" w:firstLineChars="200"/>
        <w:jc w:val="both"/>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一、自觉遵守国家、海南省和三亚市有关法律法规、政策，按照公开、公平、公正的原则参与市场竞争，自觉遵守行业道德规范坚决抵制不正当竞争行为。</w:t>
      </w:r>
    </w:p>
    <w:p w14:paraId="0A207C14">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16" w:firstLineChars="200"/>
        <w:jc w:val="both"/>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二、对提交各项申请材料的真实性、有效性负责，确保申请材料合法合规。本企业和申请人隐瞒有关情况或提供任何虚假材料，愿意承担一切法律后果。</w:t>
      </w:r>
    </w:p>
    <w:p w14:paraId="2B73CF4D">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16" w:firstLineChars="200"/>
        <w:jc w:val="both"/>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三、截止申报时间未纳入严重失信主体名单，未被信用中国列为失信惩戒对象名单。</w:t>
      </w:r>
    </w:p>
    <w:p w14:paraId="7D71B009">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16" w:firstLineChars="200"/>
        <w:jc w:val="both"/>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四、承诺在申报、使用奖励资金过程中不存在弄虚作假等违法违规行为。</w:t>
      </w:r>
    </w:p>
    <w:p w14:paraId="01161488">
      <w:pPr>
        <w:pStyle w:val="3"/>
        <w:keepNext w:val="0"/>
        <w:keepLines w:val="0"/>
        <w:pageBreakBefore w:val="0"/>
        <w:widowControl w:val="0"/>
        <w:kinsoku/>
        <w:wordWrap/>
        <w:overflowPunct/>
        <w:topLinePunct w:val="0"/>
        <w:autoSpaceDE/>
        <w:autoSpaceDN/>
        <w:bidi w:val="0"/>
        <w:adjustRightInd/>
        <w:snapToGrid/>
        <w:spacing w:before="0" w:after="0" w:line="578" w:lineRule="exact"/>
        <w:ind w:left="0" w:firstLine="616" w:firstLineChars="200"/>
        <w:jc w:val="both"/>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五、主动并自愿接受并接受三亚市旅游和文化广电体育局、三亚市财政局等有关部门监督检查。</w:t>
      </w:r>
    </w:p>
    <w:p w14:paraId="65245531">
      <w:pPr>
        <w:pStyle w:val="3"/>
        <w:spacing w:before="0" w:after="0" w:line="578" w:lineRule="exact"/>
        <w:ind w:left="0" w:firstLine="592" w:firstLineChars="200"/>
        <w:jc w:val="both"/>
        <w:rPr>
          <w:rFonts w:hint="eastAsia" w:ascii="仿宋_GB2312" w:hAnsi="仿宋_GB2312" w:eastAsia="仿宋_GB2312" w:cs="仿宋_GB2312"/>
          <w:color w:val="auto"/>
          <w:spacing w:val="-4"/>
          <w:w w:val="95"/>
          <w:sz w:val="32"/>
          <w:szCs w:val="32"/>
          <w:lang w:eastAsia="zh-CN"/>
        </w:rPr>
      </w:pPr>
    </w:p>
    <w:p w14:paraId="37D438DF">
      <w:pPr>
        <w:pStyle w:val="3"/>
        <w:spacing w:before="0" w:after="0" w:line="578" w:lineRule="exact"/>
        <w:ind w:left="4054" w:right="324"/>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9"/>
          <w:sz w:val="32"/>
          <w:szCs w:val="32"/>
          <w:lang w:eastAsia="zh-CN"/>
        </w:rPr>
        <w:t>法定代表人（签字）：</w:t>
      </w:r>
    </w:p>
    <w:p w14:paraId="3C726286">
      <w:pPr>
        <w:pStyle w:val="3"/>
        <w:tabs>
          <w:tab w:val="left" w:pos="5950"/>
          <w:tab w:val="left" w:pos="6581"/>
        </w:tabs>
        <w:spacing w:before="0" w:after="0" w:line="578" w:lineRule="exact"/>
        <w:ind w:left="0" w:right="2044"/>
        <w:jc w:val="right"/>
        <w:rPr>
          <w:rFonts w:hint="eastAsia" w:ascii="仿宋_GB2312" w:hAnsi="仿宋_GB2312" w:eastAsia="仿宋_GB2312" w:cs="仿宋_GB2312"/>
          <w:color w:val="auto"/>
          <w:spacing w:val="-26"/>
          <w:sz w:val="32"/>
          <w:szCs w:val="32"/>
          <w:lang w:eastAsia="zh-CN"/>
        </w:rPr>
      </w:pPr>
      <w:r>
        <w:rPr>
          <w:rFonts w:hint="eastAsia" w:ascii="仿宋_GB2312" w:hAnsi="仿宋_GB2312" w:eastAsia="仿宋_GB2312" w:cs="仿宋_GB2312"/>
          <w:color w:val="auto"/>
          <w:spacing w:val="-26"/>
          <w:sz w:val="32"/>
          <w:szCs w:val="32"/>
          <w:lang w:eastAsia="zh-CN"/>
        </w:rPr>
        <w:t>单位（盖章）：</w:t>
      </w:r>
    </w:p>
    <w:p w14:paraId="52296247">
      <w:pPr>
        <w:pStyle w:val="3"/>
        <w:tabs>
          <w:tab w:val="left" w:pos="5950"/>
          <w:tab w:val="left" w:pos="6581"/>
        </w:tabs>
        <w:ind w:right="2044"/>
        <w:jc w:val="right"/>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w w:val="95"/>
          <w:sz w:val="32"/>
          <w:szCs w:val="32"/>
          <w:lang w:eastAsia="zh-CN"/>
        </w:rPr>
        <w:t xml:space="preserve">年  月  </w:t>
      </w:r>
      <w:r>
        <w:rPr>
          <w:rFonts w:hint="eastAsia" w:ascii="仿宋_GB2312" w:hAnsi="仿宋_GB2312" w:eastAsia="仿宋_GB2312" w:cs="仿宋_GB2312"/>
          <w:color w:val="auto"/>
          <w:sz w:val="32"/>
          <w:szCs w:val="32"/>
          <w:lang w:eastAsia="zh-CN"/>
        </w:rPr>
        <w:t>日</w:t>
      </w:r>
    </w:p>
    <w:sectPr>
      <w:headerReference r:id="rId9" w:type="default"/>
      <w:footerReference r:id="rId10"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756D2D-2403-45FB-81EA-A0E4E2A780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F80E659-616A-4EBD-9926-F6487791ABF6}"/>
  </w:font>
  <w:font w:name="方正小标宋简体">
    <w:panose1 w:val="02000000000000000000"/>
    <w:charset w:val="86"/>
    <w:family w:val="script"/>
    <w:pitch w:val="default"/>
    <w:sig w:usb0="00000001" w:usb1="08000000" w:usb2="00000000" w:usb3="00000000" w:csb0="00040000" w:csb1="00000000"/>
    <w:embedRegular r:id="rId3" w:fontKey="{35116081-C5C8-4005-8868-DC5F4BC17545}"/>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0BBDEF8E-D577-4CF6-BEC9-376DFB333109}"/>
  </w:font>
  <w:font w:name="FangSong_GB2312">
    <w:altName w:val="仿宋"/>
    <w:panose1 w:val="02010609030101010101"/>
    <w:charset w:val="86"/>
    <w:family w:val="auto"/>
    <w:pitch w:val="default"/>
    <w:sig w:usb0="00000000" w:usb1="00000000" w:usb2="00000000" w:usb3="00000000" w:csb0="00040000" w:csb1="00000000"/>
    <w:embedRegular r:id="rId5" w:fontKey="{F4FDB0C2-D65B-4547-B2CE-E7BAADC16A4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B638A">
    <w:pPr>
      <w:jc w:val="center"/>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D468DE">
                          <w:pPr>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joinstyle="miter"/>
              <v:imagedata o:title=""/>
              <o:lock v:ext="edit"/>
              <v:textbox inset="0mm,0mm,0mm,0mm" style="mso-fit-shape-to-text:t;">
                <w:txbxContent>
                  <w:p w14:paraId="57D468DE">
                    <w:pPr>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D6410">
    <w:pPr>
      <w:jc w:val="center"/>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22935" cy="36893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368935"/>
                      </a:xfrm>
                      <a:prstGeom prst="rect">
                        <a:avLst/>
                      </a:prstGeom>
                      <a:noFill/>
                      <a:ln>
                        <a:noFill/>
                      </a:ln>
                      <a:effectLst/>
                    </wps:spPr>
                    <wps:txbx>
                      <w:txbxContent>
                        <w:p w14:paraId="4AE9AA42">
                          <w:pPr>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9.05pt;width:49.05pt;mso-position-horizontal:outside;mso-position-horizontal-relative:margin;mso-wrap-style:none;z-index:251661312;mso-width-relative:page;mso-height-relative:page;" filled="f" stroked="f" coordsize="21600,21600" o:gfxdata="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h7Qo7QAAAAAwEAAA8AAAAAAAAAAQAgAAAAIgAAAGRy&#10;cy9kb3ducmV2LnhtbFBLAQIUABQAAAAIAIdO4kAKNsq6DQIAABAEAAAOAAAAAAAAAAEAIAAAAB8B&#10;AABkcnMvZTJvRG9jLnhtbFBLBQYAAAAABgAGAFkBAACeBQAAAAA=&#10;">
              <v:fill on="f" focussize="0,0"/>
              <v:stroke on="f"/>
              <v:imagedata o:title=""/>
              <o:lock v:ext="edit" aspectratio="f"/>
              <v:textbox inset="0mm,0mm,0mm,0mm" style="mso-fit-shape-to-text:t;">
                <w:txbxContent>
                  <w:p w14:paraId="4AE9AA42">
                    <w:pPr>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561F">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17583">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10"/>
                            </w:rPr>
                            <w:id w:val="147466327"/>
                            <w:docPartObj>
                              <w:docPartGallery w:val="autotext"/>
                            </w:docPartObj>
                          </w:sdtPr>
                          <w:sdtEndPr>
                            <w:rPr>
                              <w:rStyle w:val="10"/>
                              <w:rFonts w:hint="eastAsia" w:ascii="宋体" w:hAnsi="宋体" w:eastAsia="宋体" w:cs="宋体"/>
                              <w:sz w:val="28"/>
                              <w:szCs w:val="28"/>
                            </w:rPr>
                          </w:sdtEndPr>
                          <w:sdtContent>
                            <w:p w14:paraId="76A39015">
                              <w:pPr>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27E512EC">
                              <w:pPr>
                                <w:pStyle w:val="4"/>
                                <w:rPr>
                                  <w:rStyle w:val="10"/>
                                  <w:rFonts w:hint="eastAsia" w:ascii="宋体" w:hAnsi="宋体" w:eastAsia="宋体" w:cs="宋体"/>
                                  <w:sz w:val="28"/>
                                  <w:szCs w:val="28"/>
                                </w:rPr>
                              </w:pP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Style w:val="10"/>
                      </w:rPr>
                      <w:id w:val="147466327"/>
                      <w:docPartObj>
                        <w:docPartGallery w:val="autotext"/>
                      </w:docPartObj>
                    </w:sdtPr>
                    <w:sdtEndPr>
                      <w:rPr>
                        <w:rStyle w:val="10"/>
                        <w:rFonts w:hint="eastAsia" w:ascii="宋体" w:hAnsi="宋体" w:eastAsia="宋体" w:cs="宋体"/>
                        <w:sz w:val="28"/>
                        <w:szCs w:val="28"/>
                      </w:rPr>
                    </w:sdtEndPr>
                    <w:sdtContent>
                      <w:p w14:paraId="76A39015">
                        <w:pPr>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27E512EC">
                        <w:pPr>
                          <w:pStyle w:val="4"/>
                          <w:rPr>
                            <w:rStyle w:val="10"/>
                            <w:rFonts w:hint="eastAsia" w:ascii="宋体" w:hAnsi="宋体" w:eastAsia="宋体" w:cs="宋体"/>
                            <w:sz w:val="28"/>
                            <w:szCs w:val="28"/>
                          </w:rPr>
                        </w:pP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5493C">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38FB">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D2FDE">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3A6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lYjZjOTI1MTBmNDY3YTc0ZGExYTM4YWU0MDU4OTcifQ=="/>
  </w:docVars>
  <w:rsids>
    <w:rsidRoot w:val="00FF708C"/>
    <w:rsid w:val="00007065"/>
    <w:rsid w:val="0027085E"/>
    <w:rsid w:val="00652450"/>
    <w:rsid w:val="007044C4"/>
    <w:rsid w:val="007F1962"/>
    <w:rsid w:val="00887826"/>
    <w:rsid w:val="00903D63"/>
    <w:rsid w:val="00935CF6"/>
    <w:rsid w:val="009D4918"/>
    <w:rsid w:val="00A14F7B"/>
    <w:rsid w:val="00AB5EB2"/>
    <w:rsid w:val="00EE05B8"/>
    <w:rsid w:val="00FF708C"/>
    <w:rsid w:val="01260E98"/>
    <w:rsid w:val="02274799"/>
    <w:rsid w:val="023534AF"/>
    <w:rsid w:val="02775E4F"/>
    <w:rsid w:val="02CD59F8"/>
    <w:rsid w:val="03172411"/>
    <w:rsid w:val="03DD1CE2"/>
    <w:rsid w:val="049F51EA"/>
    <w:rsid w:val="04CC0C3F"/>
    <w:rsid w:val="04F405E5"/>
    <w:rsid w:val="057E12A3"/>
    <w:rsid w:val="05B0324A"/>
    <w:rsid w:val="05E57574"/>
    <w:rsid w:val="05F9301F"/>
    <w:rsid w:val="06112958"/>
    <w:rsid w:val="06114E9F"/>
    <w:rsid w:val="063858F6"/>
    <w:rsid w:val="06C15F75"/>
    <w:rsid w:val="07B878F6"/>
    <w:rsid w:val="07E40D2F"/>
    <w:rsid w:val="08183E10"/>
    <w:rsid w:val="08E729FB"/>
    <w:rsid w:val="09937AF4"/>
    <w:rsid w:val="09EC7123"/>
    <w:rsid w:val="0B141A9B"/>
    <w:rsid w:val="0B6819E4"/>
    <w:rsid w:val="0BB7226C"/>
    <w:rsid w:val="0BEF4CA9"/>
    <w:rsid w:val="0C1C35C4"/>
    <w:rsid w:val="0C7264C1"/>
    <w:rsid w:val="0CDF2200"/>
    <w:rsid w:val="0CE642FD"/>
    <w:rsid w:val="0D141552"/>
    <w:rsid w:val="0D8238FA"/>
    <w:rsid w:val="0D9A50B8"/>
    <w:rsid w:val="0D9F2BFF"/>
    <w:rsid w:val="0E4F7C80"/>
    <w:rsid w:val="0E96765D"/>
    <w:rsid w:val="0ECD4593"/>
    <w:rsid w:val="0ED038B9"/>
    <w:rsid w:val="0F8D21E8"/>
    <w:rsid w:val="0FBB41D1"/>
    <w:rsid w:val="11847C41"/>
    <w:rsid w:val="11D010D8"/>
    <w:rsid w:val="11D02E86"/>
    <w:rsid w:val="12C30882"/>
    <w:rsid w:val="12D22CF4"/>
    <w:rsid w:val="12DB49B1"/>
    <w:rsid w:val="13737F6D"/>
    <w:rsid w:val="14387024"/>
    <w:rsid w:val="14AD5701"/>
    <w:rsid w:val="15353DDC"/>
    <w:rsid w:val="15F1786F"/>
    <w:rsid w:val="16337E88"/>
    <w:rsid w:val="166A350D"/>
    <w:rsid w:val="170D0A2A"/>
    <w:rsid w:val="189015C1"/>
    <w:rsid w:val="189A41EE"/>
    <w:rsid w:val="1901426D"/>
    <w:rsid w:val="19255178"/>
    <w:rsid w:val="1968609A"/>
    <w:rsid w:val="19844D88"/>
    <w:rsid w:val="1989541A"/>
    <w:rsid w:val="1A401197"/>
    <w:rsid w:val="1A730665"/>
    <w:rsid w:val="1BC05D1A"/>
    <w:rsid w:val="1CDB1738"/>
    <w:rsid w:val="1CF77E61"/>
    <w:rsid w:val="1CFF5F97"/>
    <w:rsid w:val="1D7F57B9"/>
    <w:rsid w:val="1D884A73"/>
    <w:rsid w:val="1E464BBA"/>
    <w:rsid w:val="1F394761"/>
    <w:rsid w:val="1F5F584A"/>
    <w:rsid w:val="1F6B68E4"/>
    <w:rsid w:val="1FB94E96"/>
    <w:rsid w:val="1FC14756"/>
    <w:rsid w:val="1FE2B9C8"/>
    <w:rsid w:val="21197683"/>
    <w:rsid w:val="2179130C"/>
    <w:rsid w:val="219739C1"/>
    <w:rsid w:val="21A87E30"/>
    <w:rsid w:val="2239443F"/>
    <w:rsid w:val="23887A65"/>
    <w:rsid w:val="23A67EEB"/>
    <w:rsid w:val="23A955B8"/>
    <w:rsid w:val="23C46D65"/>
    <w:rsid w:val="23FA061B"/>
    <w:rsid w:val="241146D9"/>
    <w:rsid w:val="246B6A3F"/>
    <w:rsid w:val="24977834"/>
    <w:rsid w:val="250A44A9"/>
    <w:rsid w:val="252C08C4"/>
    <w:rsid w:val="25FA2770"/>
    <w:rsid w:val="265F21C4"/>
    <w:rsid w:val="2681538B"/>
    <w:rsid w:val="269404CF"/>
    <w:rsid w:val="27AE736E"/>
    <w:rsid w:val="27C813FD"/>
    <w:rsid w:val="27C828DA"/>
    <w:rsid w:val="28621F18"/>
    <w:rsid w:val="287C121A"/>
    <w:rsid w:val="29493E47"/>
    <w:rsid w:val="29547804"/>
    <w:rsid w:val="2AAD3843"/>
    <w:rsid w:val="2ACC46E4"/>
    <w:rsid w:val="2B030FB6"/>
    <w:rsid w:val="2C0E585C"/>
    <w:rsid w:val="2C574478"/>
    <w:rsid w:val="2C6B57F0"/>
    <w:rsid w:val="2CFB011C"/>
    <w:rsid w:val="2D03015C"/>
    <w:rsid w:val="2D067C4C"/>
    <w:rsid w:val="2D4B4775"/>
    <w:rsid w:val="2D5A5FF8"/>
    <w:rsid w:val="2D6C34B2"/>
    <w:rsid w:val="2D942997"/>
    <w:rsid w:val="2E132621"/>
    <w:rsid w:val="2E2E1209"/>
    <w:rsid w:val="2E3F6F72"/>
    <w:rsid w:val="2EEA2149"/>
    <w:rsid w:val="2F233CC2"/>
    <w:rsid w:val="2F7FF116"/>
    <w:rsid w:val="2FC70C61"/>
    <w:rsid w:val="2FCE3781"/>
    <w:rsid w:val="30637DDB"/>
    <w:rsid w:val="308A7BCF"/>
    <w:rsid w:val="3159659D"/>
    <w:rsid w:val="31B9528D"/>
    <w:rsid w:val="31F35FB0"/>
    <w:rsid w:val="31F75DB5"/>
    <w:rsid w:val="32484DC2"/>
    <w:rsid w:val="327B2543"/>
    <w:rsid w:val="32843AED"/>
    <w:rsid w:val="332205C8"/>
    <w:rsid w:val="335F7943"/>
    <w:rsid w:val="33C63C91"/>
    <w:rsid w:val="34EC3BCC"/>
    <w:rsid w:val="35103416"/>
    <w:rsid w:val="3525406D"/>
    <w:rsid w:val="35797EA0"/>
    <w:rsid w:val="36270BC0"/>
    <w:rsid w:val="36DC0DA3"/>
    <w:rsid w:val="378D479A"/>
    <w:rsid w:val="37B26A07"/>
    <w:rsid w:val="37BE184F"/>
    <w:rsid w:val="38103DA1"/>
    <w:rsid w:val="3B5F6EA5"/>
    <w:rsid w:val="3B730A26"/>
    <w:rsid w:val="3C8749B8"/>
    <w:rsid w:val="3CC6757B"/>
    <w:rsid w:val="3CCD42E3"/>
    <w:rsid w:val="3CEF4259"/>
    <w:rsid w:val="3D1F72F5"/>
    <w:rsid w:val="3D76381A"/>
    <w:rsid w:val="3EA363F3"/>
    <w:rsid w:val="3EB47508"/>
    <w:rsid w:val="3EB72B91"/>
    <w:rsid w:val="3EC84D62"/>
    <w:rsid w:val="3ECF7E9E"/>
    <w:rsid w:val="3EE85525"/>
    <w:rsid w:val="3F3E3A9A"/>
    <w:rsid w:val="3F7A4DB6"/>
    <w:rsid w:val="3F7F102F"/>
    <w:rsid w:val="3F7F11C2"/>
    <w:rsid w:val="3FF78F5B"/>
    <w:rsid w:val="3FFDE4E4"/>
    <w:rsid w:val="40063D93"/>
    <w:rsid w:val="40844CB8"/>
    <w:rsid w:val="40AC583D"/>
    <w:rsid w:val="40AD71E9"/>
    <w:rsid w:val="40C63523"/>
    <w:rsid w:val="41260DCB"/>
    <w:rsid w:val="419716E1"/>
    <w:rsid w:val="41C537DA"/>
    <w:rsid w:val="41D92476"/>
    <w:rsid w:val="42C13FA2"/>
    <w:rsid w:val="42C1417A"/>
    <w:rsid w:val="432F34F4"/>
    <w:rsid w:val="43336630"/>
    <w:rsid w:val="43E61041"/>
    <w:rsid w:val="453A62DE"/>
    <w:rsid w:val="45B37489"/>
    <w:rsid w:val="45C04B76"/>
    <w:rsid w:val="463D3884"/>
    <w:rsid w:val="46722D34"/>
    <w:rsid w:val="47305B9A"/>
    <w:rsid w:val="48F52871"/>
    <w:rsid w:val="49470F79"/>
    <w:rsid w:val="49975A5C"/>
    <w:rsid w:val="49C46E24"/>
    <w:rsid w:val="4A394D65"/>
    <w:rsid w:val="4AC72AA1"/>
    <w:rsid w:val="4AF5003F"/>
    <w:rsid w:val="4B935BD3"/>
    <w:rsid w:val="4BE34F89"/>
    <w:rsid w:val="4C997749"/>
    <w:rsid w:val="4CA14119"/>
    <w:rsid w:val="4CB30DFF"/>
    <w:rsid w:val="4D851B1E"/>
    <w:rsid w:val="4E773CDE"/>
    <w:rsid w:val="4EC527A3"/>
    <w:rsid w:val="4F985E8A"/>
    <w:rsid w:val="4FD23C92"/>
    <w:rsid w:val="4FD45ABF"/>
    <w:rsid w:val="4FDC241B"/>
    <w:rsid w:val="4FF97471"/>
    <w:rsid w:val="50A95858"/>
    <w:rsid w:val="525B35E6"/>
    <w:rsid w:val="528D3EA0"/>
    <w:rsid w:val="52F21354"/>
    <w:rsid w:val="53611D6B"/>
    <w:rsid w:val="53FB3968"/>
    <w:rsid w:val="541D1254"/>
    <w:rsid w:val="543B1F79"/>
    <w:rsid w:val="54CF3869"/>
    <w:rsid w:val="55124B31"/>
    <w:rsid w:val="554C1DF1"/>
    <w:rsid w:val="55815C7E"/>
    <w:rsid w:val="55A83EA6"/>
    <w:rsid w:val="562B7C58"/>
    <w:rsid w:val="56A10441"/>
    <w:rsid w:val="56BA0FDC"/>
    <w:rsid w:val="579B3D40"/>
    <w:rsid w:val="586D067F"/>
    <w:rsid w:val="58A42B80"/>
    <w:rsid w:val="58E97957"/>
    <w:rsid w:val="590A4EBD"/>
    <w:rsid w:val="598D4965"/>
    <w:rsid w:val="599C4348"/>
    <w:rsid w:val="5A913524"/>
    <w:rsid w:val="5B455E20"/>
    <w:rsid w:val="5BB74E52"/>
    <w:rsid w:val="5BD22D28"/>
    <w:rsid w:val="5C2657A0"/>
    <w:rsid w:val="5CDF9A58"/>
    <w:rsid w:val="5CE2128D"/>
    <w:rsid w:val="5E1C257C"/>
    <w:rsid w:val="5E670757"/>
    <w:rsid w:val="5E710B1A"/>
    <w:rsid w:val="5EB17168"/>
    <w:rsid w:val="5EC72965"/>
    <w:rsid w:val="5EFF5146"/>
    <w:rsid w:val="5F7563E8"/>
    <w:rsid w:val="5FBDE96E"/>
    <w:rsid w:val="5FD46A96"/>
    <w:rsid w:val="60204C00"/>
    <w:rsid w:val="61453B98"/>
    <w:rsid w:val="618D69B3"/>
    <w:rsid w:val="61A245C6"/>
    <w:rsid w:val="62A81972"/>
    <w:rsid w:val="637F854E"/>
    <w:rsid w:val="64063AB3"/>
    <w:rsid w:val="645111D2"/>
    <w:rsid w:val="64D8034E"/>
    <w:rsid w:val="64E57B6C"/>
    <w:rsid w:val="655B398A"/>
    <w:rsid w:val="65706252"/>
    <w:rsid w:val="65F52031"/>
    <w:rsid w:val="660F1B2A"/>
    <w:rsid w:val="67180834"/>
    <w:rsid w:val="67650AF0"/>
    <w:rsid w:val="678673E4"/>
    <w:rsid w:val="67931B01"/>
    <w:rsid w:val="67E16AD1"/>
    <w:rsid w:val="67E25A2A"/>
    <w:rsid w:val="67EE266A"/>
    <w:rsid w:val="67FF0CC5"/>
    <w:rsid w:val="680F708F"/>
    <w:rsid w:val="683D5451"/>
    <w:rsid w:val="686658DA"/>
    <w:rsid w:val="68BF08FC"/>
    <w:rsid w:val="693D521B"/>
    <w:rsid w:val="694806C9"/>
    <w:rsid w:val="69823EE3"/>
    <w:rsid w:val="69C9739F"/>
    <w:rsid w:val="69D56401"/>
    <w:rsid w:val="69FFD8BD"/>
    <w:rsid w:val="6A024D1C"/>
    <w:rsid w:val="6A30050D"/>
    <w:rsid w:val="6A477E67"/>
    <w:rsid w:val="6A8579FC"/>
    <w:rsid w:val="6A984C0B"/>
    <w:rsid w:val="6AA162E3"/>
    <w:rsid w:val="6AA302AD"/>
    <w:rsid w:val="6D26290C"/>
    <w:rsid w:val="6DB13A3A"/>
    <w:rsid w:val="6DD662A4"/>
    <w:rsid w:val="6DFE5D2E"/>
    <w:rsid w:val="6F800BBD"/>
    <w:rsid w:val="6F811032"/>
    <w:rsid w:val="6FF680F2"/>
    <w:rsid w:val="70B84F6C"/>
    <w:rsid w:val="70D56CE6"/>
    <w:rsid w:val="711904E4"/>
    <w:rsid w:val="716F0EE9"/>
    <w:rsid w:val="71CE6F08"/>
    <w:rsid w:val="72055915"/>
    <w:rsid w:val="726271FA"/>
    <w:rsid w:val="72BD0E84"/>
    <w:rsid w:val="72DE34A1"/>
    <w:rsid w:val="72EC6569"/>
    <w:rsid w:val="73816CB2"/>
    <w:rsid w:val="73E5F067"/>
    <w:rsid w:val="741B0EB4"/>
    <w:rsid w:val="743C0E2B"/>
    <w:rsid w:val="74F87447"/>
    <w:rsid w:val="751D342D"/>
    <w:rsid w:val="75825591"/>
    <w:rsid w:val="75D92311"/>
    <w:rsid w:val="769838DE"/>
    <w:rsid w:val="769E6A99"/>
    <w:rsid w:val="771F5EED"/>
    <w:rsid w:val="77493F8A"/>
    <w:rsid w:val="775A0B63"/>
    <w:rsid w:val="77660698"/>
    <w:rsid w:val="778C3E77"/>
    <w:rsid w:val="77966528"/>
    <w:rsid w:val="78000AED"/>
    <w:rsid w:val="799E45C2"/>
    <w:rsid w:val="7A6A4943"/>
    <w:rsid w:val="7AD149C3"/>
    <w:rsid w:val="7B4A02D1"/>
    <w:rsid w:val="7B739AC4"/>
    <w:rsid w:val="7B8F28F0"/>
    <w:rsid w:val="7B933A26"/>
    <w:rsid w:val="7B9F7CAB"/>
    <w:rsid w:val="7BD17C9F"/>
    <w:rsid w:val="7BD7049A"/>
    <w:rsid w:val="7BF1074D"/>
    <w:rsid w:val="7BF76056"/>
    <w:rsid w:val="7BFDE6DE"/>
    <w:rsid w:val="7CAA0982"/>
    <w:rsid w:val="7CFA2E8E"/>
    <w:rsid w:val="7CFB4831"/>
    <w:rsid w:val="7CFEAAA4"/>
    <w:rsid w:val="7D366D5F"/>
    <w:rsid w:val="7D7D3C6D"/>
    <w:rsid w:val="7D9B30E3"/>
    <w:rsid w:val="7DBBCD05"/>
    <w:rsid w:val="7DBFA8D4"/>
    <w:rsid w:val="7DE14F1D"/>
    <w:rsid w:val="7E3F60E7"/>
    <w:rsid w:val="7EA43A0D"/>
    <w:rsid w:val="7ECB248A"/>
    <w:rsid w:val="7F7F2C3F"/>
    <w:rsid w:val="7FCF3DBA"/>
    <w:rsid w:val="7FD7A41F"/>
    <w:rsid w:val="7FDFCDC9"/>
    <w:rsid w:val="7FDFDB65"/>
    <w:rsid w:val="7FECF9C9"/>
    <w:rsid w:val="7FF7F68E"/>
    <w:rsid w:val="7FFF3666"/>
    <w:rsid w:val="93BF310E"/>
    <w:rsid w:val="9BF50141"/>
    <w:rsid w:val="B0AFC0D4"/>
    <w:rsid w:val="B2851F4C"/>
    <w:rsid w:val="B767D969"/>
    <w:rsid w:val="BB775061"/>
    <w:rsid w:val="BBBB49DF"/>
    <w:rsid w:val="BCBBB2A9"/>
    <w:rsid w:val="BDFFEEBD"/>
    <w:rsid w:val="BED8CD68"/>
    <w:rsid w:val="BF7B8BEC"/>
    <w:rsid w:val="BFF336A1"/>
    <w:rsid w:val="CBEA637F"/>
    <w:rsid w:val="D7BFB33C"/>
    <w:rsid w:val="DBBE3858"/>
    <w:rsid w:val="DEDFD444"/>
    <w:rsid w:val="DFF797A3"/>
    <w:rsid w:val="DFF99BEF"/>
    <w:rsid w:val="EAF681BF"/>
    <w:rsid w:val="EB2E66C1"/>
    <w:rsid w:val="ECBCE4E3"/>
    <w:rsid w:val="ED7A90DD"/>
    <w:rsid w:val="EEDF5BF6"/>
    <w:rsid w:val="EEFF684F"/>
    <w:rsid w:val="EFAD1BCC"/>
    <w:rsid w:val="EFD5601A"/>
    <w:rsid w:val="EFE3911A"/>
    <w:rsid w:val="F3AEAEA6"/>
    <w:rsid w:val="F6344CFD"/>
    <w:rsid w:val="F6BE859F"/>
    <w:rsid w:val="F9E70F82"/>
    <w:rsid w:val="FAE5B3AA"/>
    <w:rsid w:val="FBD70CFA"/>
    <w:rsid w:val="FC170807"/>
    <w:rsid w:val="FE2F6793"/>
    <w:rsid w:val="FE9696A2"/>
    <w:rsid w:val="FEB9408E"/>
    <w:rsid w:val="FF3FBD52"/>
    <w:rsid w:val="FF7F101B"/>
    <w:rsid w:val="FFD41C29"/>
    <w:rsid w:val="FFF074E0"/>
    <w:rsid w:val="FFFF87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2"/>
    <w:qFormat/>
    <w:uiPriority w:val="9"/>
    <w:pPr>
      <w:spacing w:after="160" w:line="278" w:lineRule="auto"/>
      <w:ind w:left="29"/>
      <w:jc w:val="left"/>
      <w:outlineLvl w:val="0"/>
    </w:pPr>
    <w:rPr>
      <w:rFonts w:ascii="方正小标宋简体" w:hAnsi="方正小标宋简体" w:eastAsia="方正小标宋简体" w:cs="Times New Roman"/>
      <w:kern w:val="0"/>
      <w:sz w:val="44"/>
      <w:szCs w:val="44"/>
      <w:lang w:eastAsia="en-US"/>
      <w14:ligatures w14:val="none"/>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unhideWhenUsed/>
    <w:qFormat/>
    <w:uiPriority w:val="99"/>
    <w:pPr>
      <w:spacing w:before="38" w:after="160" w:line="278" w:lineRule="auto"/>
      <w:ind w:left="106"/>
      <w:jc w:val="left"/>
    </w:pPr>
    <w:rPr>
      <w:rFonts w:ascii="仿宋" w:hAnsi="仿宋" w:eastAsia="仿宋" w:cs="Times New Roman"/>
      <w:kern w:val="0"/>
      <w:sz w:val="32"/>
      <w:szCs w:val="32"/>
      <w:lang w:eastAsia="en-US"/>
      <w14:ligatures w14:val="none"/>
    </w:rPr>
  </w:style>
  <w:style w:type="paragraph" w:styleId="4">
    <w:name w:val="footer"/>
    <w:basedOn w:val="1"/>
    <w:link w:val="15"/>
    <w:qFormat/>
    <w:uiPriority w:val="0"/>
    <w:pPr>
      <w:tabs>
        <w:tab w:val="center" w:pos="4153"/>
        <w:tab w:val="right" w:pos="8306"/>
      </w:tabs>
      <w:snapToGrid w:val="0"/>
      <w:spacing w:after="160" w:line="278" w:lineRule="auto"/>
      <w:jc w:val="left"/>
    </w:pPr>
    <w:rPr>
      <w:rFonts w:ascii="Calibri" w:hAnsi="Calibri" w:eastAsia="Calibri" w:cs="Times New Roman"/>
      <w:kern w:val="0"/>
      <w:sz w:val="18"/>
      <w:lang w:eastAsia="en-US"/>
      <w14:ligatures w14:val="none"/>
    </w:rPr>
  </w:style>
  <w:style w:type="paragraph" w:styleId="5">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after="160"/>
    </w:pPr>
    <w:rPr>
      <w:rFonts w:ascii="Times New Roman" w:hAnsi="Times New Roman" w:eastAsia="Calibri" w:cs="Times New Roman"/>
      <w:kern w:val="0"/>
      <w:sz w:val="18"/>
      <w:lang w:eastAsia="en-US"/>
      <w14:ligatures w14:val="none"/>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semiHidden/>
    <w:unhideWhenUsed/>
    <w:qFormat/>
    <w:uiPriority w:val="99"/>
  </w:style>
  <w:style w:type="paragraph" w:customStyle="1" w:styleId="11">
    <w:name w:val="Heading2"/>
    <w:basedOn w:val="1"/>
    <w:next w:val="1"/>
    <w:qFormat/>
    <w:uiPriority w:val="0"/>
    <w:pPr>
      <w:keepNext/>
      <w:keepLines/>
      <w:spacing w:before="260" w:after="260" w:line="416" w:lineRule="auto"/>
      <w:textAlignment w:val="baseline"/>
    </w:pPr>
    <w:rPr>
      <w:rFonts w:ascii="Cambria" w:hAnsi="Cambria"/>
      <w:b/>
      <w:bCs/>
    </w:rPr>
  </w:style>
  <w:style w:type="character" w:customStyle="1" w:styleId="12">
    <w:name w:val="标题 1 字符"/>
    <w:basedOn w:val="8"/>
    <w:link w:val="2"/>
    <w:qFormat/>
    <w:uiPriority w:val="9"/>
    <w:rPr>
      <w:rFonts w:ascii="方正小标宋简体" w:hAnsi="方正小标宋简体" w:eastAsia="方正小标宋简体" w:cs="Times New Roman"/>
      <w:kern w:val="0"/>
      <w:sz w:val="44"/>
      <w:szCs w:val="44"/>
      <w:lang w:eastAsia="en-US"/>
      <w14:ligatures w14:val="none"/>
    </w:rPr>
  </w:style>
  <w:style w:type="character" w:customStyle="1" w:styleId="13">
    <w:name w:val="页眉 字符"/>
    <w:basedOn w:val="8"/>
    <w:link w:val="5"/>
    <w:qFormat/>
    <w:uiPriority w:val="0"/>
    <w:rPr>
      <w:rFonts w:ascii="Times New Roman" w:hAnsi="Times New Roman" w:eastAsia="Calibri" w:cs="Times New Roman"/>
      <w:kern w:val="0"/>
      <w:sz w:val="18"/>
      <w:lang w:eastAsia="en-US"/>
      <w14:ligatures w14:val="none"/>
    </w:rPr>
  </w:style>
  <w:style w:type="character" w:customStyle="1" w:styleId="14">
    <w:name w:val="正文文本 字符"/>
    <w:basedOn w:val="8"/>
    <w:link w:val="3"/>
    <w:qFormat/>
    <w:uiPriority w:val="99"/>
    <w:rPr>
      <w:rFonts w:ascii="仿宋" w:hAnsi="仿宋" w:eastAsia="仿宋" w:cs="Times New Roman"/>
      <w:kern w:val="0"/>
      <w:sz w:val="32"/>
      <w:szCs w:val="32"/>
      <w:lang w:eastAsia="en-US"/>
      <w14:ligatures w14:val="none"/>
    </w:rPr>
  </w:style>
  <w:style w:type="character" w:customStyle="1" w:styleId="15">
    <w:name w:val="页脚 字符"/>
    <w:basedOn w:val="8"/>
    <w:link w:val="4"/>
    <w:qFormat/>
    <w:uiPriority w:val="0"/>
    <w:rPr>
      <w:rFonts w:ascii="Calibri" w:hAnsi="Calibri" w:eastAsia="Calibri" w:cs="Times New Roman"/>
      <w:kern w:val="0"/>
      <w:sz w:val="18"/>
      <w:lang w:eastAsia="en-US"/>
      <w14:ligatures w14:val="none"/>
    </w:rPr>
  </w:style>
  <w:style w:type="paragraph" w:customStyle="1" w:styleId="16">
    <w:name w:val="Table Paragraph"/>
    <w:basedOn w:val="1"/>
    <w:qFormat/>
    <w:uiPriority w:val="1"/>
    <w:pPr>
      <w:spacing w:after="160" w:line="278" w:lineRule="auto"/>
      <w:jc w:val="left"/>
    </w:pPr>
    <w:rPr>
      <w:rFonts w:ascii="Calibri" w:hAnsi="Calibri" w:eastAsia="Calibri" w:cs="Times New Roman"/>
      <w:kern w:val="0"/>
      <w:sz w:val="22"/>
      <w:lang w:eastAsia="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2693</Words>
  <Characters>2804</Characters>
  <Lines>13</Lines>
  <Paragraphs>3</Paragraphs>
  <TotalTime>1</TotalTime>
  <ScaleCrop>false</ScaleCrop>
  <LinksUpToDate>false</LinksUpToDate>
  <CharactersWithSpaces>2920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2024-08-13T23:06:00Z</dcterms:created>
  <dc:creator>偉 劉</dc:creator>
  <cp:lastModifiedBy>陈莔</cp:lastModifiedBy>
  <dcterms:modified xsi:type="dcterms:W3CDTF">2024-12-19T11:24:18Z</dcterms:modified>
  <dc:title>三亚市加强文体旅商展联动进一步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9D9A3B9AEB00427E8C92880ACD32D0B6_13</vt:lpwstr>
  </property>
</Properties>
</file>