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kinsoku/>
        <w:wordWrap/>
        <w:overflowPunct/>
        <w:topLinePunct w:val="0"/>
        <w:autoSpaceDE/>
        <w:autoSpaceDN/>
        <w:bidi w:val="0"/>
        <w:adjustRightInd/>
        <w:snapToGrid/>
        <w:spacing w:after="0" w:line="578" w:lineRule="exact"/>
        <w:ind w:left="0"/>
        <w:jc w:val="center"/>
        <w:textAlignment w:val="auto"/>
        <w:rPr>
          <w:rFonts w:hint="eastAsia" w:ascii="Times New Roman" w:hAnsi="微软雅黑" w:eastAsia="方正小标宋简体" w:cs="宋体"/>
          <w:color w:val="auto"/>
          <w:kern w:val="36"/>
          <w:sz w:val="44"/>
          <w:szCs w:val="48"/>
          <w:lang w:val="en-US" w:eastAsia="zh-CN" w:bidi="ar-SA"/>
          <w14:ligatures w14:val="none"/>
        </w:rPr>
      </w:pPr>
    </w:p>
    <w:p>
      <w:pPr>
        <w:pStyle w:val="3"/>
        <w:keepNext w:val="0"/>
        <w:keepLines w:val="0"/>
        <w:pageBreakBefore w:val="0"/>
        <w:kinsoku/>
        <w:wordWrap/>
        <w:overflowPunct/>
        <w:topLinePunct w:val="0"/>
        <w:autoSpaceDE/>
        <w:autoSpaceDN/>
        <w:bidi w:val="0"/>
        <w:adjustRightInd/>
        <w:snapToGrid/>
        <w:spacing w:after="0" w:line="578" w:lineRule="exact"/>
        <w:ind w:left="0"/>
        <w:jc w:val="center"/>
        <w:textAlignment w:val="auto"/>
        <w:rPr>
          <w:rFonts w:hint="eastAsia" w:ascii="Times New Roman" w:hAnsi="微软雅黑" w:eastAsia="方正小标宋简体" w:cs="宋体"/>
          <w:color w:val="auto"/>
          <w:kern w:val="36"/>
          <w:sz w:val="44"/>
          <w:szCs w:val="48"/>
          <w:lang w:val="en-US" w:eastAsia="zh-CN" w:bidi="ar-SA"/>
          <w14:ligatures w14:val="none"/>
        </w:rPr>
      </w:pPr>
      <w:r>
        <w:rPr>
          <w:rFonts w:hint="eastAsia" w:ascii="Times New Roman" w:hAnsi="微软雅黑" w:eastAsia="方正小标宋简体" w:cs="宋体"/>
          <w:color w:val="auto"/>
          <w:kern w:val="36"/>
          <w:sz w:val="44"/>
          <w:szCs w:val="48"/>
          <w:lang w:val="en-US" w:eastAsia="zh-CN" w:bidi="ar-SA"/>
          <w14:ligatures w14:val="none"/>
        </w:rPr>
        <w:t>《三亚市有影响力的体育赛事活动</w:t>
      </w:r>
    </w:p>
    <w:p>
      <w:pPr>
        <w:pStyle w:val="3"/>
        <w:keepNext w:val="0"/>
        <w:keepLines w:val="0"/>
        <w:pageBreakBefore w:val="0"/>
        <w:kinsoku/>
        <w:wordWrap/>
        <w:overflowPunct/>
        <w:topLinePunct w:val="0"/>
        <w:autoSpaceDE/>
        <w:autoSpaceDN/>
        <w:bidi w:val="0"/>
        <w:adjustRightInd/>
        <w:snapToGrid/>
        <w:spacing w:after="0" w:line="578" w:lineRule="exact"/>
        <w:ind w:left="0"/>
        <w:jc w:val="center"/>
        <w:textAlignment w:val="auto"/>
        <w:rPr>
          <w:rFonts w:hint="eastAsia" w:ascii="Times New Roman" w:hAnsi="微软雅黑" w:eastAsia="方正小标宋简体" w:cs="宋体"/>
          <w:color w:val="auto"/>
          <w:kern w:val="36"/>
          <w:sz w:val="44"/>
          <w:szCs w:val="48"/>
          <w:lang w:val="en-US" w:eastAsia="zh-CN" w:bidi="ar-SA"/>
          <w14:ligatures w14:val="none"/>
        </w:rPr>
      </w:pPr>
      <w:r>
        <w:rPr>
          <w:rFonts w:hint="eastAsia" w:ascii="Times New Roman" w:hAnsi="微软雅黑" w:eastAsia="方正小标宋简体" w:cs="宋体"/>
          <w:color w:val="auto"/>
          <w:kern w:val="36"/>
          <w:sz w:val="44"/>
          <w:szCs w:val="48"/>
          <w:lang w:val="en-US" w:eastAsia="zh-CN" w:bidi="ar-SA"/>
          <w14:ligatures w14:val="none"/>
        </w:rPr>
        <w:t>奖励实施细则》政策解读</w:t>
      </w:r>
    </w:p>
    <w:p>
      <w:pPr>
        <w:keepNext w:val="0"/>
        <w:keepLines w:val="0"/>
        <w:pageBreakBefore w:val="0"/>
        <w:kinsoku/>
        <w:wordWrap/>
        <w:overflowPunct/>
        <w:topLinePunct w:val="0"/>
        <w:autoSpaceDE/>
        <w:autoSpaceDN/>
        <w:bidi w:val="0"/>
        <w:adjustRightInd/>
        <w:snapToGrid/>
        <w:spacing w:line="578"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eastAsia" w:ascii="Times New Roman" w:eastAsia="仿宋_GB2312"/>
          <w:color w:val="auto"/>
          <w:sz w:val="32"/>
        </w:rPr>
      </w:pPr>
      <w:r>
        <w:rPr>
          <w:rFonts w:hint="default" w:ascii="Times New Roman" w:eastAsia="仿宋_GB2312"/>
          <w:color w:val="auto"/>
          <w:sz w:val="32"/>
        </w:rPr>
        <w:t>为贯彻落实</w:t>
      </w:r>
      <w:r>
        <w:rPr>
          <w:rFonts w:hint="eastAsia" w:ascii="Times New Roman" w:eastAsia="仿宋_GB2312"/>
          <w:color w:val="auto"/>
          <w:sz w:val="32"/>
        </w:rPr>
        <w:t>《三亚市加强文体旅商展联动进一步促进消费的若干措施》（三</w:t>
      </w:r>
      <w:r>
        <w:rPr>
          <w:rFonts w:hint="eastAsia" w:ascii="Times New Roman" w:eastAsia="仿宋_GB2312"/>
          <w:color w:val="auto"/>
          <w:sz w:val="32"/>
          <w:lang w:val="en-US" w:eastAsia="zh-CN"/>
        </w:rPr>
        <w:t>旅文</w:t>
      </w:r>
      <w:r>
        <w:rPr>
          <w:rFonts w:hint="eastAsia" w:ascii="Times New Roman" w:eastAsia="仿宋_GB2312"/>
          <w:color w:val="auto"/>
          <w:sz w:val="32"/>
        </w:rPr>
        <w:t>〔2024〕</w:t>
      </w:r>
      <w:r>
        <w:rPr>
          <w:rFonts w:hint="eastAsia" w:ascii="Times New Roman" w:eastAsia="仿宋_GB2312"/>
          <w:color w:val="auto"/>
          <w:sz w:val="32"/>
          <w:lang w:val="en-US" w:eastAsia="zh-CN"/>
        </w:rPr>
        <w:t>499</w:t>
      </w:r>
      <w:r>
        <w:rPr>
          <w:rFonts w:hint="eastAsia" w:ascii="Times New Roman" w:eastAsia="仿宋_GB2312"/>
          <w:color w:val="auto"/>
          <w:sz w:val="32"/>
        </w:rPr>
        <w:t>号，以下简称《</w:t>
      </w:r>
      <w:r>
        <w:rPr>
          <w:rFonts w:hint="eastAsia" w:ascii="Times New Roman" w:eastAsia="仿宋_GB2312"/>
          <w:color w:val="auto"/>
          <w:sz w:val="32"/>
          <w:lang w:val="en-US" w:eastAsia="zh-CN"/>
        </w:rPr>
        <w:t>三亚</w:t>
      </w:r>
      <w:r>
        <w:rPr>
          <w:rFonts w:hint="eastAsia" w:ascii="Times New Roman" w:eastAsia="仿宋_GB2312"/>
          <w:color w:val="auto"/>
          <w:sz w:val="32"/>
        </w:rPr>
        <w:t>措施》）</w:t>
      </w:r>
      <w:r>
        <w:rPr>
          <w:rFonts w:hint="default" w:ascii="Times New Roman" w:eastAsia="仿宋_GB2312"/>
          <w:color w:val="auto"/>
          <w:sz w:val="32"/>
        </w:rPr>
        <w:t>，</w:t>
      </w:r>
      <w:r>
        <w:rPr>
          <w:rFonts w:hint="default" w:ascii="Times New Roman" w:eastAsia="仿宋_GB2312"/>
          <w:color w:val="auto"/>
          <w:sz w:val="32"/>
          <w:lang w:eastAsia="zh-CN"/>
        </w:rPr>
        <w:t>三亚市旅游和文化广电体育局结合工作实际</w:t>
      </w:r>
      <w:r>
        <w:rPr>
          <w:rFonts w:hint="eastAsia" w:ascii="Times New Roman" w:eastAsia="仿宋_GB2312"/>
          <w:color w:val="auto"/>
          <w:sz w:val="32"/>
          <w:lang w:eastAsia="zh-CN"/>
        </w:rPr>
        <w:t>，</w:t>
      </w:r>
      <w:r>
        <w:rPr>
          <w:rFonts w:hint="default" w:ascii="Times New Roman" w:eastAsia="仿宋_GB2312"/>
          <w:color w:val="auto"/>
          <w:sz w:val="32"/>
          <w:lang w:eastAsia="zh-CN"/>
        </w:rPr>
        <w:t>制定了</w:t>
      </w:r>
      <w:r>
        <w:rPr>
          <w:rFonts w:hint="eastAsia" w:ascii="Times New Roman" w:eastAsia="仿宋_GB2312"/>
          <w:color w:val="auto"/>
          <w:sz w:val="32"/>
          <w:lang w:eastAsia="zh-CN"/>
        </w:rPr>
        <w:t>《三亚市</w:t>
      </w:r>
      <w:r>
        <w:rPr>
          <w:rFonts w:hint="eastAsia" w:ascii="Times New Roman" w:eastAsia="仿宋_GB2312"/>
          <w:color w:val="auto"/>
          <w:sz w:val="32"/>
          <w:lang w:val="en-US" w:eastAsia="zh-CN"/>
        </w:rPr>
        <w:t>有影响力的体育赛事活动奖励</w:t>
      </w:r>
      <w:r>
        <w:rPr>
          <w:rFonts w:hint="default" w:ascii="Times New Roman" w:eastAsia="仿宋_GB2312"/>
          <w:color w:val="auto"/>
          <w:sz w:val="32"/>
          <w:lang w:eastAsia="zh-CN"/>
        </w:rPr>
        <w:t>实施细则</w:t>
      </w:r>
      <w:r>
        <w:rPr>
          <w:rFonts w:hint="eastAsia" w:ascii="Times New Roman" w:eastAsia="仿宋_GB2312"/>
          <w:color w:val="auto"/>
          <w:sz w:val="32"/>
          <w:lang w:eastAsia="zh-CN"/>
        </w:rPr>
        <w:t>》（</w:t>
      </w:r>
      <w:r>
        <w:rPr>
          <w:rFonts w:hint="eastAsia" w:ascii="Times New Roman" w:eastAsia="仿宋_GB2312"/>
          <w:color w:val="auto"/>
          <w:sz w:val="32"/>
          <w:lang w:val="en-US" w:eastAsia="zh-CN"/>
        </w:rPr>
        <w:t>以下简称《体育赛事奖励细则》</w:t>
      </w:r>
      <w:r>
        <w:rPr>
          <w:rFonts w:hint="eastAsia" w:ascii="Times New Roman" w:eastAsia="仿宋_GB2312"/>
          <w:color w:val="auto"/>
          <w:sz w:val="32"/>
          <w:lang w:eastAsia="zh-CN"/>
        </w:rPr>
        <w:t>）。</w:t>
      </w:r>
      <w:r>
        <w:rPr>
          <w:rFonts w:hint="eastAsia" w:ascii="Times New Roman" w:eastAsia="仿宋_GB2312"/>
          <w:color w:val="auto"/>
          <w:sz w:val="32"/>
        </w:rPr>
        <w:t>为做好</w:t>
      </w:r>
      <w:r>
        <w:rPr>
          <w:rFonts w:hint="eastAsia" w:ascii="Times New Roman" w:eastAsia="仿宋_GB2312"/>
          <w:color w:val="auto"/>
          <w:sz w:val="32"/>
          <w:lang w:eastAsia="zh-CN"/>
        </w:rPr>
        <w:t>相关内容的</w:t>
      </w:r>
      <w:r>
        <w:rPr>
          <w:rFonts w:hint="eastAsia" w:ascii="Times New Roman" w:eastAsia="仿宋_GB2312"/>
          <w:color w:val="auto"/>
          <w:sz w:val="32"/>
        </w:rPr>
        <w:t>解读工作，现将有关情况解读如下：</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0" w:afterAutospacing="0" w:line="578" w:lineRule="exact"/>
        <w:ind w:firstLine="640" w:firstLineChars="200"/>
        <w:jc w:val="both"/>
        <w:textAlignment w:val="auto"/>
        <w:outlineLvl w:val="0"/>
        <w:rPr>
          <w:rFonts w:hint="eastAsia" w:ascii="Times New Roman" w:hAnsi="宋体" w:eastAsia="仿宋_GB2312" w:cs="宋体"/>
          <w:color w:val="auto"/>
          <w:kern w:val="0"/>
          <w:sz w:val="32"/>
          <w:szCs w:val="24"/>
          <w:lang w:val="en-US" w:eastAsia="zh-CN" w:bidi="ar-SA"/>
          <w14:ligatures w14:val="none"/>
        </w:rPr>
      </w:pPr>
      <w:r>
        <w:rPr>
          <w:rFonts w:hint="eastAsia" w:ascii="Times New Roman" w:hAnsi="黑体" w:eastAsia="黑体" w:cs="宋体"/>
          <w:color w:val="auto"/>
          <w:kern w:val="0"/>
          <w:sz w:val="32"/>
          <w:szCs w:val="24"/>
          <w:lang w:val="en-US" w:eastAsia="zh-CN" w:bidi="ar-SA"/>
          <w14:ligatures w14:val="none"/>
        </w:rPr>
        <w:t>一、制定背景</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eastAsia" w:ascii="Times New Roman" w:eastAsia="仿宋_GB2312"/>
          <w:color w:val="auto"/>
          <w:sz w:val="32"/>
          <w:lang w:val="en-US" w:eastAsia="zh-CN"/>
        </w:rPr>
      </w:pPr>
      <w:r>
        <w:rPr>
          <w:rFonts w:hint="eastAsia" w:ascii="Times New Roman" w:eastAsia="仿宋_GB2312"/>
          <w:color w:val="auto"/>
          <w:sz w:val="32"/>
          <w:lang w:val="en-US" w:eastAsia="zh-CN"/>
        </w:rPr>
        <w:t>为贯彻落实《海南省进一步促进文体旅商展联动扩大消费若干措施》和《三亚措施》的有关工作要求，鼓励和引导更多市场主体在三亚市内举办较大影响力的国际国内重大体育赛事，促进我市“体育+旅游”充分融合发展，刺激三亚</w:t>
      </w:r>
      <w:r>
        <w:rPr>
          <w:rFonts w:hint="default" w:ascii="Times New Roman" w:eastAsia="仿宋_GB2312"/>
          <w:color w:val="auto"/>
          <w:sz w:val="32"/>
          <w:lang w:eastAsia="zh-CN"/>
        </w:rPr>
        <w:t>文体旅</w:t>
      </w:r>
      <w:r>
        <w:rPr>
          <w:rFonts w:hint="eastAsia" w:ascii="Times New Roman" w:eastAsia="仿宋_GB2312"/>
          <w:color w:val="auto"/>
          <w:sz w:val="32"/>
          <w:lang w:val="en-US" w:eastAsia="zh-CN"/>
        </w:rPr>
        <w:t>消费市场活力，满足市民游客日益增长的体育需求，针对近期印发的《三亚措施》中的第四条激励措施，引导市场主体积极申报奖励资金，特制定《体育赛事奖励细则》，明确支持范围、申报流程和申报材料。该奖励措施与省级政策形成政策互补作用，进一步促进三亚</w:t>
      </w:r>
      <w:r>
        <w:rPr>
          <w:rFonts w:hint="default" w:ascii="Times New Roman" w:eastAsia="仿宋_GB2312"/>
          <w:color w:val="auto"/>
          <w:sz w:val="32"/>
          <w:lang w:eastAsia="zh-CN"/>
        </w:rPr>
        <w:t>文体旅</w:t>
      </w:r>
      <w:r>
        <w:rPr>
          <w:rFonts w:hint="eastAsia" w:ascii="Times New Roman" w:eastAsia="仿宋_GB2312"/>
          <w:color w:val="auto"/>
          <w:sz w:val="32"/>
          <w:lang w:val="en-US" w:eastAsia="zh-CN"/>
        </w:rPr>
        <w:t>充分融合</w:t>
      </w:r>
      <w:r>
        <w:rPr>
          <w:rFonts w:hint="default" w:ascii="Times New Roman" w:eastAsia="仿宋_GB2312"/>
          <w:color w:val="auto"/>
          <w:sz w:val="32"/>
          <w:lang w:eastAsia="zh-CN"/>
        </w:rPr>
        <w:t>发展</w:t>
      </w:r>
      <w:r>
        <w:rPr>
          <w:rFonts w:hint="eastAsia" w:ascii="Times New Roman" w:eastAsia="仿宋_GB2312"/>
          <w:color w:val="auto"/>
          <w:sz w:val="32"/>
          <w:lang w:val="en-US"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0" w:afterAutospacing="0" w:line="578" w:lineRule="exact"/>
        <w:ind w:firstLine="640" w:firstLineChars="200"/>
        <w:jc w:val="both"/>
        <w:textAlignment w:val="auto"/>
        <w:outlineLvl w:val="0"/>
        <w:rPr>
          <w:rFonts w:hint="eastAsia" w:ascii="Times New Roman" w:hAnsi="宋体" w:eastAsia="仿宋_GB2312" w:cs="宋体"/>
          <w:color w:val="auto"/>
          <w:kern w:val="0"/>
          <w:sz w:val="32"/>
          <w:szCs w:val="24"/>
          <w:lang w:val="en-US" w:eastAsia="zh-CN" w:bidi="ar-SA"/>
          <w14:ligatures w14:val="none"/>
        </w:rPr>
      </w:pPr>
      <w:r>
        <w:rPr>
          <w:rFonts w:hint="eastAsia" w:ascii="Times New Roman" w:hAnsi="黑体" w:eastAsia="黑体" w:cs="宋体"/>
          <w:color w:val="auto"/>
          <w:kern w:val="0"/>
          <w:sz w:val="32"/>
          <w:szCs w:val="24"/>
          <w:lang w:val="en-US" w:eastAsia="zh-CN" w:bidi="ar-SA"/>
          <w14:ligatures w14:val="none"/>
        </w:rPr>
        <w:t>二、主要内容</w:t>
      </w:r>
    </w:p>
    <w:p>
      <w:pPr>
        <w:pStyle w:val="4"/>
        <w:keepNext w:val="0"/>
        <w:keepLines w:val="0"/>
        <w:pageBreakBefore w:val="0"/>
        <w:widowControl w:val="0"/>
        <w:kinsoku/>
        <w:wordWrap/>
        <w:overflowPunct/>
        <w:topLinePunct w:val="0"/>
        <w:autoSpaceDE/>
        <w:autoSpaceDN/>
        <w:bidi w:val="0"/>
        <w:adjustRightInd/>
        <w:snapToGrid/>
        <w:spacing w:before="0" w:after="0" w:line="578" w:lineRule="exact"/>
        <w:ind w:left="0" w:firstLine="640" w:firstLineChars="200"/>
        <w:jc w:val="both"/>
        <w:textAlignment w:val="auto"/>
        <w:rPr>
          <w:rFonts w:ascii="Times New Roman" w:hAnsi="Times New Roman" w:eastAsia="仿宋_GB2312" w:cs="Times New Roman"/>
          <w:spacing w:val="7"/>
          <w:lang w:eastAsia="zh-CN"/>
        </w:rPr>
      </w:pPr>
      <w:r>
        <w:rPr>
          <w:rFonts w:hint="eastAsia" w:ascii="Times New Roman" w:hAnsi="宋体" w:eastAsia="仿宋_GB2312" w:cs="宋体"/>
          <w:color w:val="auto"/>
          <w:kern w:val="0"/>
          <w:sz w:val="32"/>
          <w:szCs w:val="24"/>
          <w:lang w:val="en-US" w:eastAsia="zh-CN" w:bidi="ar-SA"/>
          <w14:ligatures w14:val="none"/>
        </w:rPr>
        <w:t>答：《体育赛事奖励细则》</w:t>
      </w:r>
      <w:r>
        <w:rPr>
          <w:rFonts w:hint="default" w:ascii="Times New Roman" w:hAnsi="Times New Roman" w:eastAsia="仿宋_GB2312" w:cs="Times New Roman"/>
          <w:kern w:val="2"/>
          <w:lang w:eastAsia="zh-CN" w:bidi="ar"/>
        </w:rPr>
        <w:t>对主办单位举办较大影响力的国际国内重大体育赛事（不含职业联赛），累计观赛观众达10000人次或参赛人数达5000人，予以最高50万元支持。对累计观赛观众达20000人次，且境外观众比例超过10%的，予以100万元一次性奖励。以上奖励基础之上，若为国际级的（与国际体育组织签约，且参赛国6个以上、世界排名前100名或知名选手至少3人参赛）赛事奖励额度再上浮30%</w:t>
      </w:r>
      <w:r>
        <w:rPr>
          <w:rFonts w:ascii="Times New Roman" w:hAnsi="Times New Roman" w:eastAsia="仿宋_GB2312" w:cs="Times New Roman"/>
          <w:spacing w:val="7"/>
          <w:lang w:eastAsia="zh-CN"/>
        </w:rPr>
        <w:t>。</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auto"/>
        <w:outlineLvl w:val="0"/>
        <w:rPr>
          <w:rFonts w:hint="default" w:ascii="Times New Roman" w:hAnsi="黑体" w:eastAsia="黑体"/>
          <w:color w:val="auto"/>
          <w:sz w:val="32"/>
          <w:lang w:val="en-US" w:eastAsia="zh-CN"/>
        </w:rPr>
      </w:pPr>
      <w:r>
        <w:rPr>
          <w:rFonts w:hint="eastAsia" w:ascii="Times New Roman" w:hAnsi="黑体" w:eastAsia="黑体"/>
          <w:color w:val="auto"/>
          <w:sz w:val="32"/>
          <w:lang w:val="en-US" w:eastAsia="zh-CN"/>
        </w:rPr>
        <w:t>三、政策亮点</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auto"/>
        <w:outlineLvl w:val="0"/>
        <w:rPr>
          <w:rFonts w:hint="default" w:ascii="Times New Roman" w:hAnsi="宋体" w:eastAsia="仿宋_GB2312" w:cs="宋体"/>
          <w:color w:val="auto"/>
          <w:kern w:val="0"/>
          <w:sz w:val="32"/>
          <w:szCs w:val="24"/>
          <w:lang w:val="en-US" w:eastAsia="zh-CN" w:bidi="ar-SA"/>
          <w14:ligatures w14:val="none"/>
        </w:rPr>
      </w:pPr>
      <w:r>
        <w:rPr>
          <w:rFonts w:hint="eastAsia" w:ascii="Times New Roman" w:hAnsi="宋体" w:eastAsia="仿宋_GB2312" w:cs="宋体"/>
          <w:color w:val="auto"/>
          <w:kern w:val="0"/>
          <w:sz w:val="32"/>
          <w:szCs w:val="24"/>
          <w:lang w:val="en-US" w:eastAsia="zh-CN" w:bidi="ar-SA"/>
          <w14:ligatures w14:val="none"/>
        </w:rPr>
        <w:t>答：</w:t>
      </w:r>
      <w:r>
        <w:rPr>
          <w:rFonts w:hint="eastAsia" w:ascii="Times New Roman" w:eastAsia="仿宋_GB2312"/>
          <w:color w:val="auto"/>
          <w:sz w:val="32"/>
          <w:lang w:val="en-US" w:eastAsia="zh-CN"/>
        </w:rPr>
        <w:t>《体育赛事奖励细则》</w:t>
      </w:r>
      <w:r>
        <w:rPr>
          <w:rFonts w:hint="eastAsia" w:ascii="Times New Roman" w:hAnsi="宋体" w:eastAsia="仿宋_GB2312" w:cs="宋体"/>
          <w:color w:val="auto"/>
          <w:kern w:val="0"/>
          <w:sz w:val="32"/>
          <w:szCs w:val="24"/>
          <w:lang w:val="en-US" w:eastAsia="zh-CN" w:bidi="ar-SA"/>
          <w14:ligatures w14:val="none"/>
        </w:rPr>
        <w:t>奖励门槛和标准设立等方面对《</w:t>
      </w:r>
      <w:r>
        <w:rPr>
          <w:rFonts w:hint="eastAsia" w:ascii="Times New Roman" w:eastAsia="仿宋_GB2312" w:cs="宋体"/>
          <w:color w:val="auto"/>
          <w:kern w:val="0"/>
          <w:sz w:val="32"/>
          <w:szCs w:val="24"/>
          <w:lang w:val="en-US" w:eastAsia="zh-CN" w:bidi="ar-SA"/>
          <w14:ligatures w14:val="none"/>
        </w:rPr>
        <w:t>三亚</w:t>
      </w:r>
      <w:r>
        <w:rPr>
          <w:rFonts w:hint="eastAsia" w:ascii="Times New Roman" w:hAnsi="宋体" w:eastAsia="仿宋_GB2312" w:cs="宋体"/>
          <w:color w:val="auto"/>
          <w:kern w:val="0"/>
          <w:sz w:val="32"/>
          <w:szCs w:val="24"/>
          <w:lang w:val="en-US" w:eastAsia="zh-CN" w:bidi="ar-SA"/>
          <w14:ligatures w14:val="none"/>
        </w:rPr>
        <w:t>措施》进一步补充和细化，</w:t>
      </w:r>
      <w:r>
        <w:rPr>
          <w:rFonts w:hint="default" w:ascii="Times New Roman" w:hAnsi="宋体" w:eastAsia="仿宋_GB2312" w:cs="宋体"/>
          <w:color w:val="auto"/>
          <w:kern w:val="0"/>
          <w:sz w:val="32"/>
          <w:szCs w:val="24"/>
          <w:lang w:val="en-US" w:eastAsia="zh-CN" w:bidi="ar-SA"/>
          <w14:ligatures w14:val="none"/>
        </w:rPr>
        <w:t>依据三亚市</w:t>
      </w:r>
      <w:r>
        <w:rPr>
          <w:rFonts w:hint="eastAsia" w:ascii="Times New Roman" w:eastAsia="仿宋_GB2312" w:cs="宋体"/>
          <w:color w:val="auto"/>
          <w:kern w:val="0"/>
          <w:sz w:val="32"/>
          <w:szCs w:val="24"/>
          <w:lang w:val="en-US" w:eastAsia="zh-CN" w:bidi="ar-SA"/>
          <w14:ligatures w14:val="none"/>
        </w:rPr>
        <w:t>举行的体育赛事活动的参赛人数、观赛观众人次等</w:t>
      </w:r>
      <w:r>
        <w:rPr>
          <w:rFonts w:hint="eastAsia" w:ascii="Times New Roman" w:hAnsi="宋体" w:eastAsia="仿宋_GB2312" w:cs="宋体"/>
          <w:color w:val="auto"/>
          <w:kern w:val="0"/>
          <w:sz w:val="32"/>
          <w:szCs w:val="24"/>
          <w:lang w:val="en-US" w:eastAsia="zh-CN" w:bidi="ar-SA"/>
          <w14:ligatures w14:val="none"/>
        </w:rPr>
        <w:t>实际情况</w:t>
      </w:r>
      <w:r>
        <w:rPr>
          <w:rFonts w:hint="default" w:ascii="Times New Roman" w:hAnsi="宋体" w:eastAsia="仿宋_GB2312" w:cs="宋体"/>
          <w:color w:val="auto"/>
          <w:kern w:val="0"/>
          <w:sz w:val="32"/>
          <w:szCs w:val="24"/>
          <w:lang w:val="en-US" w:eastAsia="zh-CN" w:bidi="ar-SA"/>
          <w14:ligatures w14:val="none"/>
        </w:rPr>
        <w:t>提出不同</w:t>
      </w:r>
      <w:r>
        <w:rPr>
          <w:rFonts w:hint="eastAsia" w:ascii="Times New Roman" w:hAnsi="宋体" w:eastAsia="仿宋_GB2312" w:cs="宋体"/>
          <w:color w:val="auto"/>
          <w:kern w:val="0"/>
          <w:sz w:val="32"/>
          <w:szCs w:val="24"/>
          <w:lang w:val="en-US" w:eastAsia="zh-CN" w:bidi="ar-SA"/>
          <w14:ligatures w14:val="none"/>
        </w:rPr>
        <w:t>情形适用的奖励</w:t>
      </w:r>
      <w:r>
        <w:rPr>
          <w:rFonts w:hint="default" w:ascii="Times New Roman" w:hAnsi="宋体" w:eastAsia="仿宋_GB2312" w:cs="宋体"/>
          <w:color w:val="auto"/>
          <w:kern w:val="0"/>
          <w:sz w:val="32"/>
          <w:szCs w:val="24"/>
          <w:lang w:val="en-US" w:eastAsia="zh-CN" w:bidi="ar-SA"/>
          <w14:ligatures w14:val="none"/>
        </w:rPr>
        <w:t>方案</w:t>
      </w:r>
      <w:r>
        <w:rPr>
          <w:rFonts w:hint="eastAsia" w:ascii="Times New Roman" w:hAnsi="宋体" w:eastAsia="仿宋_GB2312" w:cs="宋体"/>
          <w:color w:val="auto"/>
          <w:kern w:val="0"/>
          <w:sz w:val="32"/>
          <w:szCs w:val="24"/>
          <w:lang w:val="en-US" w:eastAsia="zh-CN" w:bidi="ar-SA"/>
          <w14:ligatures w14:val="none"/>
        </w:rPr>
        <w:t>和奖励标准</w:t>
      </w:r>
      <w:r>
        <w:rPr>
          <w:rFonts w:hint="default" w:ascii="Times New Roman" w:hAnsi="宋体" w:eastAsia="仿宋_GB2312" w:cs="宋体"/>
          <w:color w:val="auto"/>
          <w:kern w:val="0"/>
          <w:sz w:val="32"/>
          <w:szCs w:val="24"/>
          <w:lang w:val="en-US" w:eastAsia="zh-CN" w:bidi="ar-SA"/>
          <w14:ligatures w14:val="none"/>
        </w:rPr>
        <w:t>，</w:t>
      </w:r>
      <w:r>
        <w:rPr>
          <w:rFonts w:hint="eastAsia" w:ascii="Times New Roman" w:hAnsi="宋体" w:eastAsia="仿宋_GB2312" w:cs="宋体"/>
          <w:color w:val="auto"/>
          <w:kern w:val="0"/>
          <w:sz w:val="32"/>
          <w:szCs w:val="24"/>
          <w:lang w:val="en-US" w:eastAsia="zh-CN" w:bidi="ar-SA"/>
          <w14:ligatures w14:val="none"/>
        </w:rPr>
        <w:t>设置</w:t>
      </w:r>
      <w:r>
        <w:rPr>
          <w:rFonts w:hint="eastAsia" w:ascii="Times New Roman" w:eastAsia="仿宋_GB2312" w:cs="宋体"/>
          <w:color w:val="auto"/>
          <w:kern w:val="0"/>
          <w:sz w:val="32"/>
          <w:szCs w:val="24"/>
          <w:lang w:val="en-US" w:eastAsia="zh-CN" w:bidi="ar-SA"/>
          <w14:ligatures w14:val="none"/>
        </w:rPr>
        <w:t>不同的</w:t>
      </w:r>
      <w:r>
        <w:rPr>
          <w:rFonts w:hint="eastAsia" w:ascii="Times New Roman" w:hAnsi="宋体" w:eastAsia="仿宋_GB2312" w:cs="宋体"/>
          <w:color w:val="auto"/>
          <w:kern w:val="0"/>
          <w:sz w:val="32"/>
          <w:szCs w:val="24"/>
          <w:lang w:val="en-US" w:eastAsia="zh-CN" w:bidi="ar-SA"/>
          <w14:ligatures w14:val="none"/>
        </w:rPr>
        <w:t>奖励金额，鼓励</w:t>
      </w:r>
      <w:r>
        <w:rPr>
          <w:rFonts w:hint="eastAsia" w:ascii="Times New Roman" w:eastAsia="仿宋_GB2312" w:cs="宋体"/>
          <w:color w:val="auto"/>
          <w:kern w:val="0"/>
          <w:sz w:val="32"/>
          <w:szCs w:val="24"/>
          <w:lang w:val="en-US" w:eastAsia="zh-CN" w:bidi="ar-SA"/>
          <w14:ligatures w14:val="none"/>
        </w:rPr>
        <w:t>和</w:t>
      </w:r>
      <w:r>
        <w:rPr>
          <w:rFonts w:hint="eastAsia" w:ascii="Times New Roman" w:hAnsi="宋体" w:eastAsia="仿宋_GB2312" w:cs="宋体"/>
          <w:color w:val="auto"/>
          <w:kern w:val="0"/>
          <w:sz w:val="32"/>
          <w:szCs w:val="24"/>
          <w:lang w:val="en-US" w:eastAsia="zh-CN" w:bidi="ar-SA"/>
          <w14:ligatures w14:val="none"/>
        </w:rPr>
        <w:t>引导</w:t>
      </w:r>
      <w:r>
        <w:rPr>
          <w:rFonts w:hint="eastAsia" w:ascii="Times New Roman" w:eastAsia="仿宋_GB2312" w:cs="宋体"/>
          <w:color w:val="auto"/>
          <w:kern w:val="0"/>
          <w:sz w:val="32"/>
          <w:szCs w:val="24"/>
          <w:lang w:val="en-US" w:eastAsia="zh-CN" w:bidi="ar-SA"/>
          <w14:ligatures w14:val="none"/>
        </w:rPr>
        <w:t>更多市场主体举办有影响力的全国性、国际性的体育赛事活动，引进更多的客流、刺激三亚体育旅游消费，促进</w:t>
      </w:r>
      <w:r>
        <w:rPr>
          <w:rFonts w:hint="default" w:ascii="Times New Roman" w:eastAsia="仿宋_GB2312" w:cs="宋体"/>
          <w:color w:val="auto"/>
          <w:kern w:val="0"/>
          <w:sz w:val="32"/>
          <w:szCs w:val="24"/>
          <w:lang w:eastAsia="zh-CN" w:bidi="ar-SA"/>
          <w14:ligatures w14:val="none"/>
        </w:rPr>
        <w:t>体育与旅游文化</w:t>
      </w:r>
      <w:r>
        <w:rPr>
          <w:rFonts w:hint="eastAsia" w:ascii="Times New Roman" w:eastAsia="仿宋_GB2312" w:cs="宋体"/>
          <w:color w:val="auto"/>
          <w:kern w:val="0"/>
          <w:sz w:val="32"/>
          <w:szCs w:val="24"/>
          <w:lang w:val="en-US" w:eastAsia="zh-CN" w:bidi="ar-SA"/>
          <w14:ligatures w14:val="none"/>
        </w:rPr>
        <w:t>融合发展。</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auto"/>
        <w:outlineLvl w:val="0"/>
        <w:rPr>
          <w:rFonts w:hint="eastAsia" w:ascii="Times New Roman" w:eastAsia="仿宋_GB2312"/>
          <w:color w:val="auto"/>
          <w:sz w:val="32"/>
        </w:rPr>
      </w:pPr>
      <w:r>
        <w:rPr>
          <w:rFonts w:hint="eastAsia" w:ascii="Times New Roman" w:hAnsi="黑体" w:eastAsia="黑体"/>
          <w:color w:val="auto"/>
          <w:sz w:val="32"/>
          <w:lang w:eastAsia="zh-CN"/>
        </w:rPr>
        <w:t>四</w:t>
      </w:r>
      <w:r>
        <w:rPr>
          <w:rFonts w:hint="eastAsia" w:ascii="Times New Roman" w:hAnsi="黑体" w:eastAsia="黑体"/>
          <w:color w:val="auto"/>
          <w:sz w:val="32"/>
        </w:rPr>
        <w:t>、</w:t>
      </w:r>
      <w:bookmarkStart w:id="0" w:name="_Hlk171602321"/>
      <w:bookmarkStart w:id="1" w:name="_Hlk171602556"/>
      <w:r>
        <w:rPr>
          <w:rFonts w:hint="eastAsia" w:ascii="Times New Roman" w:hAnsi="黑体" w:eastAsia="黑体"/>
          <w:color w:val="auto"/>
          <w:sz w:val="32"/>
          <w:lang w:eastAsia="zh-CN"/>
        </w:rPr>
        <w:t>奖励</w:t>
      </w:r>
      <w:r>
        <w:rPr>
          <w:rFonts w:hint="eastAsia" w:ascii="Times New Roman" w:hAnsi="黑体" w:eastAsia="黑体"/>
          <w:color w:val="auto"/>
          <w:sz w:val="32"/>
        </w:rPr>
        <w:t>资金</w:t>
      </w:r>
      <w:bookmarkEnd w:id="0"/>
      <w:bookmarkEnd w:id="1"/>
      <w:r>
        <w:rPr>
          <w:rFonts w:hint="eastAsia" w:ascii="Times New Roman" w:hAnsi="黑体" w:eastAsia="黑体"/>
          <w:color w:val="auto"/>
          <w:sz w:val="32"/>
        </w:rPr>
        <w:t>适用范围</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auto"/>
        <w:rPr>
          <w:rFonts w:ascii="Times New Roman" w:hAnsi="Times New Roman" w:eastAsia="仿宋_GB2312" w:cs="Times New Roman"/>
          <w:color w:val="auto"/>
          <w:kern w:val="2"/>
          <w:sz w:val="32"/>
          <w:szCs w:val="32"/>
          <w:lang w:bidi="ar"/>
        </w:rPr>
      </w:pPr>
      <w:r>
        <w:rPr>
          <w:rFonts w:hint="eastAsia" w:ascii="Times New Roman" w:eastAsia="仿宋_GB2312"/>
          <w:color w:val="auto"/>
          <w:sz w:val="32"/>
        </w:rPr>
        <w:t>答：</w:t>
      </w:r>
      <w:r>
        <w:rPr>
          <w:rFonts w:hint="eastAsia" w:ascii="Times New Roman" w:eastAsia="仿宋_GB2312"/>
          <w:color w:val="auto"/>
          <w:sz w:val="32"/>
          <w:lang w:val="en-US" w:eastAsia="zh-CN"/>
        </w:rPr>
        <w:t>《体育赛事奖励细则》奖励</w:t>
      </w:r>
      <w:r>
        <w:rPr>
          <w:rFonts w:hint="eastAsia" w:ascii="Times New Roman" w:eastAsia="仿宋_GB2312"/>
          <w:color w:val="auto"/>
          <w:sz w:val="32"/>
        </w:rPr>
        <w:t>资金属于市级</w:t>
      </w:r>
      <w:r>
        <w:rPr>
          <w:rFonts w:hint="eastAsia" w:ascii="Times New Roman" w:eastAsia="仿宋_GB2312"/>
          <w:color w:val="auto"/>
          <w:sz w:val="32"/>
          <w:lang w:val="en-US" w:eastAsia="zh-CN"/>
        </w:rPr>
        <w:t>奖励</w:t>
      </w:r>
      <w:r>
        <w:rPr>
          <w:rFonts w:hint="eastAsia" w:ascii="Times New Roman" w:eastAsia="仿宋_GB2312"/>
          <w:color w:val="auto"/>
          <w:sz w:val="32"/>
        </w:rPr>
        <w:t>资金，与省级财政</w:t>
      </w:r>
      <w:r>
        <w:rPr>
          <w:rFonts w:hint="eastAsia" w:ascii="Times New Roman" w:eastAsia="仿宋_GB2312"/>
          <w:color w:val="auto"/>
          <w:sz w:val="32"/>
          <w:lang w:val="en-US" w:eastAsia="zh-CN"/>
        </w:rPr>
        <w:t>奖励</w:t>
      </w:r>
      <w:r>
        <w:rPr>
          <w:rFonts w:hint="eastAsia" w:ascii="Times New Roman" w:eastAsia="仿宋_GB2312"/>
          <w:color w:val="auto"/>
          <w:sz w:val="32"/>
        </w:rPr>
        <w:t>同时适用。</w:t>
      </w:r>
      <w:r>
        <w:rPr>
          <w:rFonts w:ascii="Times New Roman" w:hAnsi="Times New Roman" w:eastAsia="仿宋_GB2312" w:cs="Times New Roman"/>
          <w:color w:val="auto"/>
          <w:kern w:val="2"/>
          <w:sz w:val="32"/>
          <w:szCs w:val="32"/>
          <w:lang w:bidi="ar"/>
        </w:rPr>
        <w:t>原则上已获得其他市级财政资金支持的项目，不再重复支持。对于由财政资金支持开展的活动，不计入</w:t>
      </w:r>
      <w:r>
        <w:rPr>
          <w:rFonts w:hint="eastAsia" w:ascii="Times New Roman" w:hAnsi="Times New Roman" w:eastAsia="仿宋_GB2312" w:cs="Times New Roman"/>
          <w:color w:val="auto"/>
          <w:kern w:val="2"/>
          <w:sz w:val="32"/>
          <w:szCs w:val="32"/>
          <w:lang w:val="en-US" w:eastAsia="zh-CN" w:bidi="ar"/>
        </w:rPr>
        <w:t>奖励</w:t>
      </w:r>
      <w:r>
        <w:rPr>
          <w:rFonts w:ascii="Times New Roman" w:hAnsi="Times New Roman" w:eastAsia="仿宋_GB2312" w:cs="Times New Roman"/>
          <w:color w:val="auto"/>
          <w:kern w:val="2"/>
          <w:sz w:val="32"/>
          <w:szCs w:val="32"/>
          <w:lang w:bidi="ar"/>
        </w:rPr>
        <w:t>范围。</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auto"/>
        <w:outlineLvl w:val="0"/>
        <w:rPr>
          <w:rFonts w:hint="eastAsia" w:ascii="Times New Roman" w:eastAsia="仿宋_GB2312"/>
          <w:color w:val="auto"/>
          <w:sz w:val="32"/>
        </w:rPr>
      </w:pPr>
      <w:r>
        <w:rPr>
          <w:rFonts w:hint="eastAsia" w:ascii="Times New Roman" w:hAnsi="黑体" w:eastAsia="黑体"/>
          <w:color w:val="auto"/>
          <w:sz w:val="32"/>
          <w:lang w:eastAsia="zh-CN"/>
        </w:rPr>
        <w:t>五</w:t>
      </w:r>
      <w:r>
        <w:rPr>
          <w:rFonts w:hint="eastAsia" w:ascii="Times New Roman" w:hAnsi="黑体" w:eastAsia="黑体"/>
          <w:color w:val="auto"/>
          <w:sz w:val="32"/>
        </w:rPr>
        <w:t>、</w:t>
      </w:r>
      <w:bookmarkStart w:id="2" w:name="_Hlk171603186"/>
      <w:bookmarkStart w:id="3" w:name="_Hlk171604238"/>
      <w:r>
        <w:rPr>
          <w:rFonts w:hint="eastAsia" w:ascii="Times New Roman" w:hAnsi="黑体" w:eastAsia="黑体"/>
          <w:color w:val="auto"/>
          <w:sz w:val="32"/>
          <w:lang w:eastAsia="zh-CN"/>
        </w:rPr>
        <w:t>奖励</w:t>
      </w:r>
      <w:r>
        <w:rPr>
          <w:rFonts w:hint="eastAsia" w:ascii="Times New Roman" w:hAnsi="黑体" w:eastAsia="黑体"/>
          <w:color w:val="auto"/>
          <w:sz w:val="32"/>
          <w:lang w:val="en-US" w:eastAsia="zh-CN"/>
        </w:rPr>
        <w:t>资金</w:t>
      </w:r>
      <w:r>
        <w:rPr>
          <w:rFonts w:hint="eastAsia" w:ascii="Times New Roman" w:hAnsi="黑体" w:eastAsia="黑体"/>
          <w:color w:val="auto"/>
          <w:sz w:val="32"/>
        </w:rPr>
        <w:t>申报</w:t>
      </w:r>
      <w:bookmarkEnd w:id="2"/>
      <w:r>
        <w:rPr>
          <w:rFonts w:hint="eastAsia" w:ascii="Times New Roman" w:hAnsi="黑体" w:eastAsia="黑体"/>
          <w:color w:val="auto"/>
          <w:sz w:val="32"/>
        </w:rPr>
        <w:t>流程</w:t>
      </w:r>
      <w:bookmarkEnd w:id="3"/>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eastAsia" w:ascii="Times New Roman" w:eastAsia="仿宋_GB2312"/>
          <w:color w:val="auto"/>
          <w:sz w:val="32"/>
          <w:lang w:val="en-US" w:eastAsia="zh-CN"/>
        </w:rPr>
      </w:pPr>
      <w:r>
        <w:rPr>
          <w:rFonts w:hint="default" w:ascii="Times New Roman" w:hAnsi="Times New Roman" w:eastAsia="仿宋_GB2312" w:cs="Times New Roman"/>
          <w:color w:val="auto"/>
          <w:sz w:val="32"/>
        </w:rPr>
        <w:t>答：</w:t>
      </w:r>
      <w:r>
        <w:rPr>
          <w:rFonts w:hint="eastAsia" w:ascii="Times New Roman" w:eastAsia="仿宋_GB2312"/>
          <w:color w:val="auto"/>
          <w:sz w:val="32"/>
          <w:lang w:val="en-US" w:eastAsia="zh-CN"/>
        </w:rPr>
        <w:t>（一）申请单位原则上在办赛前15个工作日内向三亚市旅游和文化广电体育局进行备案。按照办赛要求，三亚市旅游和文化广电体育局在比赛期间采用“四不两直”的方式开展现场督导和核查。未按要求进行备案的赛事不予奖励。</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eastAsia" w:ascii="Times New Roman" w:eastAsia="仿宋_GB2312"/>
          <w:color w:val="auto"/>
          <w:sz w:val="32"/>
          <w:lang w:val="en-US" w:eastAsia="zh-CN"/>
        </w:rPr>
      </w:pPr>
      <w:r>
        <w:rPr>
          <w:rFonts w:hint="eastAsia" w:ascii="Times New Roman" w:eastAsia="仿宋_GB2312"/>
          <w:color w:val="auto"/>
          <w:sz w:val="32"/>
          <w:lang w:val="en-US" w:eastAsia="zh-CN"/>
        </w:rPr>
        <w:t>（二）申请单位可于赛事结束后在“海易兑”平台提交奖励申请，系统链接</w:t>
      </w:r>
      <w:r>
        <w:rPr>
          <w:rFonts w:hint="eastAsia" w:ascii="Times New Roman" w:eastAsia="仿宋_GB2312"/>
          <w:color w:val="auto"/>
          <w:sz w:val="32"/>
          <w:lang w:val="en-US" w:eastAsia="zh-CN"/>
        </w:rPr>
        <w:fldChar w:fldCharType="begin"/>
      </w:r>
      <w:r>
        <w:rPr>
          <w:rFonts w:hint="eastAsia" w:ascii="Times New Roman" w:eastAsia="仿宋_GB2312"/>
          <w:color w:val="auto"/>
          <w:sz w:val="32"/>
          <w:lang w:val="en-US" w:eastAsia="zh-CN"/>
        </w:rPr>
        <w:instrText xml:space="preserve"> HYPERLINK "https://hqzc.wssp.hainan.gov.cn/#/home" </w:instrText>
      </w:r>
      <w:r>
        <w:rPr>
          <w:rFonts w:hint="eastAsia" w:ascii="Times New Roman" w:eastAsia="仿宋_GB2312"/>
          <w:color w:val="auto"/>
          <w:sz w:val="32"/>
          <w:lang w:val="en-US" w:eastAsia="zh-CN"/>
        </w:rPr>
        <w:fldChar w:fldCharType="separate"/>
      </w:r>
      <w:r>
        <w:rPr>
          <w:rFonts w:hint="eastAsia" w:ascii="Times New Roman" w:eastAsia="仿宋_GB2312"/>
          <w:color w:val="auto"/>
          <w:sz w:val="32"/>
          <w:lang w:val="en-US" w:eastAsia="zh-CN"/>
        </w:rPr>
        <w:t>https://hqzc.wssp.hainan.gov.cn/#/home</w:t>
      </w:r>
      <w:r>
        <w:rPr>
          <w:rFonts w:hint="eastAsia" w:ascii="Times New Roman" w:eastAsia="仿宋_GB2312"/>
          <w:color w:val="auto"/>
          <w:sz w:val="32"/>
          <w:lang w:val="en-US" w:eastAsia="zh-CN"/>
        </w:rPr>
        <w:fldChar w:fldCharType="end"/>
      </w:r>
      <w:r>
        <w:rPr>
          <w:rFonts w:hint="eastAsia" w:ascii="Times New Roman" w:eastAsia="仿宋_GB2312"/>
          <w:color w:val="auto"/>
          <w:sz w:val="32"/>
          <w:lang w:val="en-US" w:eastAsia="zh-CN"/>
        </w:rPr>
        <w:t>，严格按照材料申请提供第三方赛事评估和审计报告等材料，</w:t>
      </w:r>
      <w:bookmarkStart w:id="4" w:name="_Hlk168392133"/>
      <w:r>
        <w:rPr>
          <w:rFonts w:hint="eastAsia" w:ascii="Times New Roman" w:eastAsia="仿宋_GB2312"/>
          <w:color w:val="auto"/>
          <w:sz w:val="32"/>
          <w:lang w:val="en-US" w:eastAsia="zh-CN"/>
        </w:rPr>
        <w:t>三亚市旅游和文化广电体育局</w:t>
      </w:r>
      <w:bookmarkEnd w:id="4"/>
      <w:r>
        <w:rPr>
          <w:rFonts w:hint="eastAsia" w:ascii="Times New Roman" w:eastAsia="仿宋_GB2312"/>
          <w:color w:val="auto"/>
          <w:sz w:val="32"/>
          <w:lang w:val="en-US" w:eastAsia="zh-CN"/>
        </w:rPr>
        <w:t>完成评审后在三亚市旅文局官网及“海易兑”平台等相关渠道进行社会公示，公示无误后予以兑付。评审工作每季度开展一次。</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auto"/>
        <w:outlineLvl w:val="0"/>
        <w:rPr>
          <w:rFonts w:hint="eastAsia" w:ascii="Times New Roman" w:eastAsia="仿宋_GB2312"/>
          <w:color w:val="auto"/>
          <w:sz w:val="32"/>
        </w:rPr>
      </w:pPr>
      <w:r>
        <w:rPr>
          <w:rFonts w:hint="eastAsia" w:ascii="Times New Roman" w:hAnsi="黑体" w:eastAsia="黑体"/>
          <w:color w:val="auto"/>
          <w:sz w:val="32"/>
          <w:lang w:eastAsia="zh-CN"/>
        </w:rPr>
        <w:t>六</w:t>
      </w:r>
      <w:r>
        <w:rPr>
          <w:rFonts w:hint="eastAsia" w:ascii="Times New Roman" w:hAnsi="黑体" w:eastAsia="黑体"/>
          <w:color w:val="auto"/>
          <w:sz w:val="32"/>
        </w:rPr>
        <w:t>、</w:t>
      </w:r>
      <w:r>
        <w:rPr>
          <w:rFonts w:hint="eastAsia" w:ascii="Times New Roman" w:hAnsi="黑体" w:eastAsia="黑体"/>
          <w:color w:val="auto"/>
          <w:sz w:val="32"/>
          <w:lang w:val="en-US" w:eastAsia="zh-CN"/>
        </w:rPr>
        <w:t>政策</w:t>
      </w:r>
      <w:r>
        <w:rPr>
          <w:rFonts w:hint="eastAsia" w:ascii="Times New Roman" w:hAnsi="黑体" w:eastAsia="黑体"/>
          <w:color w:val="auto"/>
          <w:sz w:val="32"/>
        </w:rPr>
        <w:t>有效期</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eastAsia" w:ascii="Times New Roman" w:eastAsia="仿宋_GB2312"/>
          <w:color w:val="auto"/>
          <w:sz w:val="32"/>
          <w:lang w:val="en-US" w:eastAsia="zh-CN"/>
        </w:rPr>
      </w:pPr>
      <w:r>
        <w:rPr>
          <w:rFonts w:hint="eastAsia" w:ascii="Times New Roman" w:eastAsia="仿宋_GB2312"/>
          <w:color w:val="auto"/>
          <w:sz w:val="32"/>
        </w:rPr>
        <w:t>答：</w:t>
      </w:r>
      <w:r>
        <w:rPr>
          <w:rFonts w:hint="eastAsia" w:ascii="Times New Roman" w:eastAsia="仿宋_GB2312"/>
          <w:color w:val="auto"/>
          <w:sz w:val="32"/>
          <w:lang w:val="en-US" w:eastAsia="zh-CN"/>
        </w:rPr>
        <w:t>三亚市旅游和文化广电体育局负责《体育赛事奖励细则》的具体实施和解释内容，有效期截至2025年12月31日。</w:t>
      </w:r>
      <w:bookmarkStart w:id="5" w:name="_GoBack"/>
      <w:bookmarkEnd w:id="5"/>
    </w:p>
    <w:p>
      <w:pPr>
        <w:keepNext w:val="0"/>
        <w:keepLines w:val="0"/>
        <w:pageBreakBefore w:val="0"/>
        <w:numPr>
          <w:ilvl w:val="0"/>
          <w:numId w:val="0"/>
        </w:numPr>
        <w:kinsoku/>
        <w:wordWrap/>
        <w:overflowPunct/>
        <w:topLinePunct w:val="0"/>
        <w:autoSpaceDE/>
        <w:autoSpaceDN/>
        <w:bidi w:val="0"/>
        <w:adjustRightInd/>
        <w:snapToGrid/>
        <w:spacing w:line="578" w:lineRule="exact"/>
        <w:textAlignment w:val="auto"/>
        <w:rPr>
          <w:rFonts w:hint="default"/>
          <w:lang w:val="en-US" w:eastAsia="zh-CN"/>
        </w:rPr>
      </w:pPr>
    </w:p>
    <w:sectPr>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汉仪书宋二KW"/>
    <w:panose1 w:val="02010600030101010101"/>
    <w:charset w:val="7A"/>
    <w:family w:val="auto"/>
    <w:pitch w:val="default"/>
    <w:sig w:usb0="00000000" w:usb1="00000000" w:usb2="00000006" w:usb3="00000000" w:csb0="00040001"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Cambria">
    <w:altName w:val="Georgia"/>
    <w:panose1 w:val="02040503050406030204"/>
    <w:charset w:val="00"/>
    <w:family w:val="roman"/>
    <w:pitch w:val="default"/>
    <w:sig w:usb0="00000000" w:usb1="00000000" w:usb2="02000000" w:usb3="00000000" w:csb0="2000019F" w:csb1="00000000"/>
  </w:font>
  <w:font w:name="仿宋">
    <w:altName w:val="汉仪仿宋KW"/>
    <w:panose1 w:val="02010609060101010101"/>
    <w:charset w:val="86"/>
    <w:family w:val="auto"/>
    <w:pitch w:val="default"/>
    <w:sig w:usb0="00000000" w:usb1="00000000" w:usb2="00000016" w:usb3="00000000" w:csb0="00040001" w:csb1="00000000"/>
  </w:font>
  <w:font w:name="微软雅黑">
    <w:altName w:val="汉仪旗黑KW 55S"/>
    <w:panose1 w:val="020B0503020204020204"/>
    <w:charset w:val="86"/>
    <w:family w:val="swiss"/>
    <w:pitch w:val="default"/>
    <w:sig w:usb0="00000000" w:usb1="0000000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Georgia">
    <w:panose1 w:val="02040502050405020303"/>
    <w:charset w:val="00"/>
    <w:family w:val="auto"/>
    <w:pitch w:val="default"/>
    <w:sig w:usb0="00000287" w:usb1="00000000" w:usb2="00000000" w:usb3="00000000" w:csb0="2000009F" w:csb1="00000000"/>
  </w:font>
  <w:font w:name="汉仪仿宋KW">
    <w:panose1 w:val="00020600040101010101"/>
    <w:charset w:val="86"/>
    <w:family w:val="auto"/>
    <w:pitch w:val="default"/>
    <w:sig w:usb0="A00002BF" w:usb1="18EF7CFA" w:usb2="00000016" w:usb3="00000000" w:csb0="00040000" w:csb1="00000000"/>
  </w:font>
  <w:font w:name="汉仪旗黑KW 55S">
    <w:panose1 w:val="00020600040101010101"/>
    <w:charset w:val="86"/>
    <w:family w:val="auto"/>
    <w:pitch w:val="default"/>
    <w:sig w:usb0="A00002BF" w:usb1="3ACF7CFA" w:usb2="00000016"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ED58DB"/>
    <w:rsid w:val="0AC14408"/>
    <w:rsid w:val="10C743E9"/>
    <w:rsid w:val="13C05634"/>
    <w:rsid w:val="14E14710"/>
    <w:rsid w:val="1A144486"/>
    <w:rsid w:val="1C39446C"/>
    <w:rsid w:val="1D457759"/>
    <w:rsid w:val="1FBD431D"/>
    <w:rsid w:val="208F082B"/>
    <w:rsid w:val="2B5B3243"/>
    <w:rsid w:val="2CAF3429"/>
    <w:rsid w:val="2CFA0771"/>
    <w:rsid w:val="2D3F4130"/>
    <w:rsid w:val="328D0643"/>
    <w:rsid w:val="33ED58DB"/>
    <w:rsid w:val="39D52552"/>
    <w:rsid w:val="3A44715D"/>
    <w:rsid w:val="47644DAE"/>
    <w:rsid w:val="4CE743A0"/>
    <w:rsid w:val="4EA21E0B"/>
    <w:rsid w:val="50FA2EC2"/>
    <w:rsid w:val="51872232"/>
    <w:rsid w:val="56162786"/>
    <w:rsid w:val="5784475F"/>
    <w:rsid w:val="58B70C3B"/>
    <w:rsid w:val="5B5D17DE"/>
    <w:rsid w:val="5BB654C9"/>
    <w:rsid w:val="5DF24D35"/>
    <w:rsid w:val="6EFEE0DD"/>
    <w:rsid w:val="774D77D6"/>
    <w:rsid w:val="79C357D2"/>
    <w:rsid w:val="79C632B1"/>
    <w:rsid w:val="7B724CEE"/>
    <w:rsid w:val="7E1F155C"/>
    <w:rsid w:val="CFFF9F97"/>
    <w:rsid w:val="FB7F5B7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spacing w:after="160" w:line="278" w:lineRule="auto"/>
    </w:pPr>
    <w:rPr>
      <w:rFonts w:asciiTheme="minorHAnsi" w:hAnsiTheme="minorHAnsi" w:eastAsiaTheme="minorHAnsi" w:cstheme="minorBidi"/>
      <w:sz w:val="22"/>
      <w:szCs w:val="22"/>
      <w:lang w:val="en-US" w:eastAsia="en-US" w:bidi="ar-SA"/>
    </w:rPr>
  </w:style>
  <w:style w:type="paragraph" w:styleId="3">
    <w:name w:val="heading 1"/>
    <w:basedOn w:val="1"/>
    <w:next w:val="1"/>
    <w:qFormat/>
    <w:uiPriority w:val="1"/>
    <w:pPr>
      <w:ind w:left="29"/>
      <w:outlineLvl w:val="0"/>
    </w:pPr>
    <w:rPr>
      <w:rFonts w:ascii="方正小标宋简体" w:hAnsi="方正小标宋简体" w:eastAsia="方正小标宋简体"/>
      <w:sz w:val="44"/>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Heading2"/>
    <w:basedOn w:val="1"/>
    <w:next w:val="1"/>
    <w:qFormat/>
    <w:uiPriority w:val="0"/>
    <w:pPr>
      <w:keepNext/>
      <w:keepLines/>
      <w:spacing w:before="260" w:after="260" w:line="416" w:lineRule="auto"/>
      <w:textAlignment w:val="baseline"/>
    </w:pPr>
    <w:rPr>
      <w:rFonts w:ascii="Cambria" w:hAnsi="Cambria"/>
      <w:b/>
      <w:bCs/>
    </w:rPr>
  </w:style>
  <w:style w:type="paragraph" w:styleId="4">
    <w:name w:val="Body Text"/>
    <w:basedOn w:val="1"/>
    <w:qFormat/>
    <w:uiPriority w:val="1"/>
    <w:pPr>
      <w:spacing w:before="38"/>
      <w:ind w:left="106"/>
    </w:pPr>
    <w:rPr>
      <w:rFonts w:ascii="仿宋" w:hAnsi="仿宋" w:eastAsia="仿宋"/>
      <w:sz w:val="32"/>
      <w:szCs w:val="32"/>
    </w:rPr>
  </w:style>
  <w:style w:type="paragraph" w:styleId="5">
    <w:name w:val="footer"/>
    <w:basedOn w:val="1"/>
    <w:unhideWhenUsed/>
    <w:qFormat/>
    <w:uiPriority w:val="99"/>
    <w:pPr>
      <w:tabs>
        <w:tab w:val="center" w:pos="4153"/>
        <w:tab w:val="right" w:pos="8306"/>
      </w:tabs>
      <w:snapToGrid w:val="0"/>
      <w:spacing w:line="240" w:lineRule="auto"/>
    </w:pPr>
    <w:rPr>
      <w:sz w:val="18"/>
      <w:szCs w:val="18"/>
    </w:rPr>
  </w:style>
  <w:style w:type="paragraph" w:styleId="6">
    <w:name w:val="Normal (Web)"/>
    <w:basedOn w:val="1"/>
    <w:unhideWhenUsed/>
    <w:qFormat/>
    <w:uiPriority w:val="99"/>
    <w:pPr>
      <w:widowControl/>
      <w:spacing w:before="100" w:beforeAutospacing="1" w:after="100" w:afterAutospacing="1" w:line="240" w:lineRule="auto"/>
    </w:pPr>
    <w:rPr>
      <w:rFonts w:ascii="宋体" w:hAnsi="宋体" w:eastAsia="宋体" w:cs="宋体"/>
      <w:kern w:val="0"/>
      <w:sz w:val="24"/>
      <w14:ligatures w14:val="none"/>
    </w:rPr>
  </w:style>
  <w:style w:type="character" w:styleId="9">
    <w:name w:val="Hyperlink"/>
    <w:basedOn w:val="8"/>
    <w:qFormat/>
    <w:uiPriority w:val="0"/>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1</TotalTime>
  <ScaleCrop>false</ScaleCrop>
  <LinksUpToDate>false</LinksUpToDate>
  <CharactersWithSpaces>0</CharactersWithSpaces>
  <Application>WPS Office WWO_wpscloud_20240305111834-b523323eda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2024-07-24T18:44:00Z</dcterms:created>
  <dc:creator>这鬼天气热死个人</dc:creator>
  <cp:lastModifiedBy>这鬼天气热死个人</cp:lastModifiedBy>
  <dcterms:modified xsi:type="dcterms:W3CDTF">2024-07-26T11:41:55Z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