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outlineLvl w:val="9"/>
        <w:rPr>
          <w:rFonts w:hint="default" w:ascii="Times New Roman" w:hAnsi="Times New Roman" w:eastAsia="黑体" w:cs="Times New Roman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方正小标宋简体" w:cs="Times New Roman"/>
          <w:b w:val="0"/>
          <w:bCs/>
          <w:snapToGrid w:val="0"/>
          <w:color w:val="000000"/>
          <w:sz w:val="36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微软简标宋" w:hAnsi="微软简标宋" w:eastAsia="微软简标宋" w:cs="微软简标宋"/>
          <w:b w:val="0"/>
          <w:bCs/>
          <w:snapToGrid w:val="0"/>
          <w:color w:val="000000"/>
          <w:sz w:val="44"/>
          <w:szCs w:val="44"/>
          <w:highlight w:val="none"/>
        </w:rPr>
      </w:pPr>
      <w:r>
        <w:rPr>
          <w:rFonts w:hint="eastAsia" w:ascii="微软简标宋" w:hAnsi="微软简标宋" w:eastAsia="微软简标宋" w:cs="微软简标宋"/>
          <w:b w:val="0"/>
          <w:bCs/>
          <w:snapToGrid w:val="0"/>
          <w:color w:val="000000"/>
          <w:sz w:val="44"/>
          <w:szCs w:val="44"/>
          <w:highlight w:val="none"/>
          <w:lang w:val="en-US" w:eastAsia="zh-CN"/>
        </w:rPr>
        <w:t>三亚市2022年旅文行业趣味运动会</w:t>
      </w:r>
      <w:r>
        <w:rPr>
          <w:rFonts w:hint="eastAsia" w:ascii="微软简标宋" w:hAnsi="微软简标宋" w:eastAsia="微软简标宋" w:cs="微软简标宋"/>
          <w:b w:val="0"/>
          <w:bCs/>
          <w:snapToGrid w:val="0"/>
          <w:color w:val="000000"/>
          <w:sz w:val="44"/>
          <w:szCs w:val="44"/>
          <w:highlight w:val="none"/>
        </w:rPr>
        <w:t>活动规程总则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Chars="200" w:right="0" w:rightChars="0"/>
        <w:outlineLvl w:val="9"/>
        <w:rPr>
          <w:rFonts w:hint="eastAsia" w:ascii="楷体" w:hAnsi="楷体" w:eastAsia="楷体" w:cs="楷体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楷体" w:hAnsi="楷体" w:eastAsia="楷体" w:cs="楷体"/>
          <w:b w:val="0"/>
          <w:bCs/>
          <w:snapToGrid w:val="0"/>
          <w:color w:val="000000"/>
          <w:sz w:val="32"/>
          <w:szCs w:val="32"/>
          <w:highlight w:val="none"/>
        </w:rPr>
        <w:t>项目设置：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1.拔河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Chars="200" w:right="0" w:rightChars="0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2.五绳拔河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Chars="200" w:right="0" w:rightChars="0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3.提水抗旱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Chars="200" w:right="0" w:rightChars="0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4.九宫格射门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Chars="200" w:right="0" w:rightChars="0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5.定点投篮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Chars="200" w:right="0" w:rightChars="0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6.多人跳绳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Chars="200" w:right="0" w:rightChars="0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7.四人五足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Chars="200" w:right="0" w:rightChars="0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8.同舟共济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Times New Roman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楷体" w:hAnsi="楷体" w:eastAsia="楷体" w:cs="楷体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二</w:t>
      </w:r>
      <w:r>
        <w:rPr>
          <w:rFonts w:hint="default" w:ascii="楷体" w:hAnsi="楷体" w:eastAsia="楷体" w:cs="楷体"/>
          <w:b w:val="0"/>
          <w:bCs/>
          <w:snapToGrid w:val="0"/>
          <w:color w:val="000000"/>
          <w:sz w:val="32"/>
          <w:szCs w:val="32"/>
          <w:highlight w:val="none"/>
        </w:rPr>
        <w:t>、参加办法：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市旅文系统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全体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职工，含各行业协会及企业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sz w:val="32"/>
          <w:szCs w:val="32"/>
          <w:highlight w:val="none"/>
        </w:rPr>
        <w:t>组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建队伍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参赛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sz w:val="32"/>
          <w:szCs w:val="32"/>
          <w:highlight w:val="none"/>
        </w:rPr>
        <w:t>，各项目参加人数按单项规程规定执行，参赛单位所派运动员必须是本单位的工作人员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须由本单位缴纳社保证明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default" w:ascii="楷体" w:hAnsi="楷体" w:eastAsia="楷体" w:cs="楷体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楷体" w:hAnsi="楷体" w:eastAsia="楷体" w:cs="楷体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三、竞赛办法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0分钟进行检录。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比赛开始后，如运动员在点名召集后五分钟内未能到比赛场地报到者，按弃权论。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各项目赛制按单项规程规定执行。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所有参赛运动员不得兼报项目。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default" w:ascii="楷体" w:hAnsi="楷体" w:eastAsia="楷体" w:cs="楷体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四、录取名次和奖励：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sz w:val="32"/>
          <w:szCs w:val="32"/>
          <w:highlight w:val="none"/>
        </w:rPr>
        <w:t>各项目均录取前三名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，颁发获奖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sz w:val="32"/>
          <w:szCs w:val="32"/>
          <w:highlight w:val="none"/>
        </w:rPr>
        <w:t>证书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default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default" w:ascii="楷体" w:hAnsi="楷体" w:eastAsia="楷体" w:cs="楷体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五、</w:t>
      </w:r>
      <w:r>
        <w:rPr>
          <w:rFonts w:hint="default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裁判员：</w:t>
      </w:r>
      <w:r>
        <w:rPr>
          <w:rFonts w:hint="default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由组委会聘请</w:t>
      </w:r>
      <w:r>
        <w:rPr>
          <w:rFonts w:hint="default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default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楷体" w:hAnsi="楷体" w:eastAsia="楷体" w:cs="楷体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六、</w:t>
      </w:r>
      <w:r>
        <w:rPr>
          <w:rFonts w:hint="default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本规程的解释权属于组委会。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default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楷体" w:hAnsi="楷体" w:eastAsia="楷体" w:cs="楷体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七、</w:t>
      </w:r>
      <w:r>
        <w:rPr>
          <w:rFonts w:hint="default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未尽事宜，另行通知。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微软简标宋" w:hAnsi="微软简标宋" w:eastAsia="微软简标宋" w:cs="微软简标宋"/>
          <w:b w:val="0"/>
          <w:bCs/>
          <w:snapToGrid w:val="0"/>
          <w:color w:val="000000"/>
          <w:sz w:val="44"/>
          <w:szCs w:val="44"/>
          <w:highlight w:val="none"/>
        </w:rPr>
      </w:pPr>
      <w:r>
        <w:rPr>
          <w:rFonts w:hint="eastAsia" w:ascii="微软简标宋" w:hAnsi="微软简标宋" w:eastAsia="微软简标宋" w:cs="微软简标宋"/>
          <w:b w:val="0"/>
          <w:bCs/>
          <w:snapToGrid w:val="0"/>
          <w:color w:val="000000"/>
          <w:sz w:val="44"/>
          <w:szCs w:val="44"/>
          <w:highlight w:val="none"/>
          <w:lang w:val="en-US" w:eastAsia="zh-CN"/>
        </w:rPr>
        <w:t>三亚市2022年旅文行业趣味运动会</w:t>
      </w:r>
      <w:r>
        <w:rPr>
          <w:rFonts w:hint="eastAsia" w:ascii="微软简标宋" w:hAnsi="微软简标宋" w:eastAsia="微软简标宋" w:cs="微软简标宋"/>
          <w:b w:val="0"/>
          <w:bCs/>
          <w:snapToGrid w:val="0"/>
          <w:color w:val="000000"/>
          <w:sz w:val="44"/>
          <w:szCs w:val="44"/>
          <w:highlight w:val="none"/>
        </w:rPr>
        <w:t>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 w:val="0"/>
          <w:bCs/>
          <w:snapToGrid w:val="0"/>
          <w:color w:val="000000"/>
          <w:sz w:val="44"/>
          <w:szCs w:val="44"/>
          <w:highlight w:val="none"/>
        </w:rPr>
        <w:t>各项目竞赛规程汇总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A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拔河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一、比赛时间：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default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二、比赛地点：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三亚市党群服务中心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三、参加办法：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市旅文系统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全体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职工，含各行业协会及企业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组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建队伍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不少于8支队伍，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每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支队伍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报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领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队1名，教练员1名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运动员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4名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、女运动员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四、场地器材：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比赛采用马尼拉麻绳，100毫米至125毫米的外周，28至34米长，绳子的中心记号贴红色标志。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五、竞赛办法：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比赛采用三局二胜淘汰制，决出前三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分钟进行检录。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比赛开始后，如果运动员在裁判员点名召集后五分钟内未能到比赛场地报到者，按弃权论。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双方啦啦队员不得在活动区内为本队加油助威，如遇非比赛人员参与帮助，取消该对该场比赛资格；坚决杜绝在活动过程中参与队员集体放绳等恶劣行为，如有此行为则按照赛场纪律执行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5.在规定的30秒时间内两队比赛未结束，则以绳子中心记号线的位置判定胜负；两队比赛的过程中不得换人，否则判负.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比赛的开始和结束以裁判员的哨声为准。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录取名次和奖励：录取前三名给予奖励。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七、本规程解释权属组委会。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八、未尽事宜，另行通知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五绳拔河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一、比赛时间：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二、比赛地点：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三亚市党群服务中心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三、参加办法：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市旅文系统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全体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职工，含各行业协会及企业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组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建队伍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不少于8支队伍，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每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支队伍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报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领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队1名，教练员1名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运动员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6名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、女运动员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四、场地器材：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比赛采用马尼拉麻绳，100毫米至125毫米的外周，28至34米长，将5条绳子绑于中心位置，记号贴红色标志。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五、竞赛办法：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比赛采用三局二胜淘汰制，决出前三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名，本场赛事人员组成为4名男运动员1名女运动员组成。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分钟进行检录。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比赛开始后，如果运动员在裁判员点名召集后五分钟内未能到比赛场地报到者，按弃权论。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4.每局比赛后，运动员可自行调整上场人员，上场人员必须为男生4名，女生1名组成。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双方啦啦队员不得在活动区内为本队加油助威，如遇非比赛人员参与帮助，取消该对该场比赛资格；坚决杜绝在活动过程中参与队员集体放绳等恶劣行为，如有此行为则按照赛场纪律执行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6.双方运动员在由一条线将直径为3米的圆分成2个半圆的场地进行比赛。预备时，参赛双方各5名运动员在各自区域的圆圈外分开站定，每名运动员握住1条拔河绳一端的规定位置，拔河绳中间所系红花，停在圆圈中间。比赛开始，双方运动员一起用力往自己的方向拉动。拔河绳上所系红花从哪一队的方半圆出界，则判该队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比赛的开始和结束以裁判员的哨声为准。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录取名次和奖励：录取前三名给予奖励。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七、本规程解释权属组委会。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sz w:val="32"/>
          <w:szCs w:val="32"/>
          <w:highlight w:val="none"/>
        </w:rPr>
        <w:t>八、未尽事宜，另行通知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Chars="200" w:right="0" w:rightChars="0"/>
        <w:jc w:val="center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提水抗旱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一、比赛时间：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二、比赛地点：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三亚市党群服务中心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三、参加办法：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市旅文系统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全体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职工，含各行业协会及企业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组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建队伍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不少于8支队伍，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每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支队伍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报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领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队1名，教练员1名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运动员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4名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、女运动员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四、场地器材：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赛事准备小的塑料桶、大塑料桶、跨栏等障碍物。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五、竞赛办法：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比赛采用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8×50m接力，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决出前三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名，本场赛事人员组成为4名男运动员4名女运动员组成。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分钟进行检录。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比赛开始后，如果运动员在裁判员点名召集后五分钟内未能到比赛场地报到者，按弃权论。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啦啦队员不得在活动区内为本队加油助威，如遇非比赛人员参与帮助，取消该对该场比赛资格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比赛场地长50米，在局里起点10米处放置一个装满水大塑料桶，余下40米放置障碍，终点放置空的大塑料桶。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站立式起跑，参赛队伍依次在起跑线依序列队，听到出发信号后，第一名运动员双手各提一个小塑料桶，从起跑线跑至第一个装满水的塑料桶，将塑料桶装满水后，穿过途中障碍，将水倒置终点线内大塑料桶中，然后直接返回起点（不穿过障碍物），将空的塑料桶转交给本队第二名队员，循环继续，时间为5分钟。听到时间到的信息后，停止比赛，以每队终点大塑料桶内水量的多少计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比赛的开始和结束以裁判员的哨声为准。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录取名次和奖励：录取前三名给予奖励。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七、本规程解释权属组委会。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八、未尽事宜，另行通知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九宫格射门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竞赛规程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Chars="200" w:right="0" w:rightChars="0"/>
        <w:jc w:val="center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一、比赛时间：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default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二、比赛地点：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三亚市党群服务中心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三、参加办法：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市旅文系统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全体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职工，含各行业协会及企业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组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建队伍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不少于8支队伍，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每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支队伍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报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领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队1名，教练员1名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运动员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4名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、女运动员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四、场地器材：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九宫格道具、足球。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五、竞赛办法：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比赛采用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8名运动员累计得分方式，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决出前三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名，本场赛事人员组成为4名男运动员4名女运动员组成。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分钟进行检录。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比赛开始后，如果运动员在裁判员点名召集后五分钟内未能到比赛场地报到者，按弃权论。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双方啦啦队员不得在活动区内为本队加油助威，如遇非比赛人员参与帮助，取消该对该场比赛资格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5.参赛选手站在距离九宫格道具15米位置，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每名成员有3次射门机会，足球门上的九个格得分分别是上面三格5分、4分、5分；中间三格3分、2分、3分；下面三格1分、1分、1分。最终将8名成员依次踢出3次射门成绩总和为该队最终成绩。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比赛的开始和结束以裁判员的哨声为准。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录取名次和奖励：录取前三名给予奖励。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七、本规程解释权属组委会。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八、未尽事宜，另行通知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E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定点投篮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竞赛规程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一、比赛时间：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default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二、比赛地点：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三亚市党群服务中心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三、参加办法：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市旅文系统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全体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职工，含各行业协会及企业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组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建队伍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不少于8支队伍，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每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支队伍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报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领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队1名，教练员1名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运动员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4名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、女运动员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四、场地器材：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篮球框、篮球。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五、竞赛办法：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比赛采用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8名运动员累计得分方式，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决出前三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名，本场赛事人员组成为4名男运动员4名女运动员组成。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分钟进行检录。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比赛开始后，如果运动员在裁判员点名召集后五分钟内未能到比赛场地报到者，按弃权论。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双方啦啦队员不得在活动区内为本队加油助威，如遇非比赛人员参与帮助，取消该对该场比赛资格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5.每队8人，每人以3分钟为限进行投篮，必须在时间内将球全部投出，超过时间则不计算，依次进行；场上设立5个投篮点，每个点投3颗球，篮筐下左右各设一点，分别为1分；左右45度角各设一点，分别为2分；罚球线设立一个点，为3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。最终将8名成员依次投出3次成绩总和为该队最终成绩。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必须在投篮点后投篮，若踩线或过线则不计算。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若投篮时，球从球员手中掉落，则算已出手，不可捡回再投、且不算成绩，投篮球允许拍球。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比赛的开始和结束以裁判员的哨声为准。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录取名次和奖励：录取前三名给予奖励。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七、本规程解释权属组委会。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八、未尽事宜，另行通知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F多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人跳绳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竞赛规程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Chars="200" w:right="0" w:rightChars="0"/>
        <w:jc w:val="center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一、比赛时间：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二、比赛地点：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三亚市党群服务中心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三、参加办法：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市旅文系统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全体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职工，含各行业协会及企业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组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建队伍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不少于8支队伍，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每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支队伍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报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领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队1名，教练员1名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运动员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4名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、女运动员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四、场地器材：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跳绳。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五、竞赛办法：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比赛时间为4分钟，在4分钟内跳数多着获胜，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决出前三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名，本场赛事人员组成为4名男运动员4名女运动员组成。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分钟进行检录。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比赛开始后，如果运动员在裁判员点名召集后五分钟内未能到比赛场地报到者，按弃权论。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双方啦啦队员不得在活动区内为本队加油助威，如遇非比赛人员参与帮助，取消该对该场比赛资格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5.每队8人，其中2人站在2端挥动绳子，其余6人排成一列，哨声开始后，挥动绳子，6人依次跳入，开始计算。若比赛中有人出现失误导致跳绳未连续上，计分停止。时间范围内可继续进行，如4分钟时间到，则取最高次数为最终成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比赛的开始和结束以裁判员的哨声为准。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录取名次和奖励：录取前三名给予奖励。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七、本规程解释权属组委会。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八、未尽事宜，另行通知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四人五足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一、比赛时间：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二、比赛地点：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三亚市党群服务中心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三、参加办法：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市旅文系统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全体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职工，含各行业协会及企业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组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建队伍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不少于8支队伍，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每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支队伍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报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领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队1名，教练员1名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运动员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4名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、女运动员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四、场地器材：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胶布。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五、竞赛办法：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比赛采用50米接力的方式，一支队伍分为2个小分队，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决出前三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名，每支分队为2名男运动员和2名女运动员组成。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分钟进行检录。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比赛开始后，如果运动员在裁判员点名召集后五分钟内未能到比赛场地报到者，按弃权论。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双方啦啦队员不得在活动区内为本队加油助威，如遇非比赛人员参与帮助，取消该对该场比赛资格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5.运动员自主排列到起点处用胶布绑住4人相靠的腿（膝关节以上）绑成四人五足，分别站于起跑线与终点线位置，听到哨声口令后，起跑线小分队四人跑至终点后接力，另一支小分队则开始跑至起点，用时最短团队获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比赛的开始和结束以裁判员的哨声为准。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录取名次和奖励：录取前三名给予奖励。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七、本规程解释权属组委会。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八、未尽事宜，另行通知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H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同舟共济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一、比赛时间：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二、比赛地点：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三亚市党群服务中心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三、参加办法：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市旅文系统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全体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职工，含各行业协会及企业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组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建队伍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不少于8支队伍，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每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支队伍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报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领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队1名，教练员1名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运动员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4名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、女运动员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四、场地器材：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竹筏。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五、竞赛办法：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比赛采用50米接力的方式，一支队伍分为2个小分队，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决出前三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名，每支分队为2名男运动员和2名女运动员组成。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比赛前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分钟进行检录。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比赛开始后，如果运动员在裁判员点名召集后五分钟内未能到比赛场地报到者，按弃权论。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双方啦啦队员不得在活动区内为本队加油助威，如遇非比赛人员参与帮助，取消该对该场比赛资格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5.听到哨声后，第一支小分队4名运动员同时站在一块竹筏上，站稳后方可出发，跑至50米终点线后，便可接力另一支小分队4名运动员，跑回起点处，用时最短团队获胜。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6.如奔跑过程中竹筏脱落，则需回到起点处，重新出发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比赛的开始和结束以裁判员的哨声为准。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录取名次和奖励：录取前三名给予奖励。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七、本规程解释权属组委会。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</w:rPr>
        <w:t>八、未尽事宜，另行通知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Chars="200" w:right="0" w:rightChars="0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lang w:val="en-US" w:eastAsia="zh-CN"/>
        </w:rPr>
      </w:pPr>
    </w:p>
    <w:p/>
    <w:sectPr>
      <w:pgSz w:w="11850" w:h="16783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D6404"/>
    <w:rsid w:val="0097080D"/>
    <w:rsid w:val="11C11EEF"/>
    <w:rsid w:val="167E6B69"/>
    <w:rsid w:val="1BA50662"/>
    <w:rsid w:val="1E1D6404"/>
    <w:rsid w:val="3C9F1535"/>
    <w:rsid w:val="78E2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4215</Words>
  <Characters>4350</Characters>
  <Lines>0</Lines>
  <Paragraphs>0</Paragraphs>
  <TotalTime>0</TotalTime>
  <ScaleCrop>false</ScaleCrop>
  <LinksUpToDate>false</LinksUpToDate>
  <CharactersWithSpaces>4350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2022-05-06T03:12:00Z</dcterms:created>
  <dc:creator>真想T-MAC 13</dc:creator>
  <cp:lastModifiedBy>真想T-MAC 13</cp:lastModifiedBy>
  <dcterms:modified xsi:type="dcterms:W3CDTF">2022-06-23T03:08:13Z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CFC12C6254C247438134881AC7C076E2</vt:lpwstr>
  </property>
</Properties>
</file>