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-6736080</wp:posOffset>
                </wp:positionH>
                <wp:positionV relativeFrom="paragraph">
                  <wp:posOffset>3321685</wp:posOffset>
                </wp:positionV>
                <wp:extent cx="211455" cy="715010"/>
                <wp:effectExtent l="4445" t="4445" r="12700" b="23495"/>
                <wp:wrapNone/>
                <wp:docPr id="3" name="左中括号 3"/>
                <wp:cNvGraphicFramePr/>
                <a:graphic xmlns:a="http://schemas.openxmlformats.org/drawingml/2006/main">
                  <a:graphicData uri="http://schemas.microsoft.com/office/word/2010/wordprocessingShape">
                    <wps:wsp>
                      <wps:cNvSpPr/>
                      <wps:spPr>
                        <a:xfrm>
                          <a:off x="3331845" y="5365115"/>
                          <a:ext cx="211455" cy="715010"/>
                        </a:xfrm>
                        <a:prstGeom prst="leftBracket">
                          <a:avLst/>
                        </a:prstGeom>
                        <a:noFill/>
                        <a:ln w="9525" cap="flat" cmpd="sng" algn="ctr">
                          <a:solidFill>
                            <a:srgbClr val="000000">
                              <a:shade val="95000"/>
                              <a:satMod val="105000"/>
                            </a:srgbClr>
                          </a:solidFill>
                          <a:prstDash val="solid"/>
                        </a:ln>
                        <a:effectLst/>
                      </wps:spPr>
                      <wps:txbx>
                        <w:txbxContent>
                          <w:p>
                            <w:pPr>
                              <w:jc w:val="center"/>
                            </w:pPr>
                          </w:p>
                        </w:txbxContent>
                      </wps:txbx>
                      <wps:bodyPr/>
                    </wps:wsp>
                  </a:graphicData>
                </a:graphic>
              </wp:anchor>
            </w:drawing>
          </mc:Choice>
          <mc:Fallback>
            <w:pict>
              <v:shape id="_x0000_s1026" o:spid="_x0000_s1026" o:spt="85" type="#_x0000_t85" style="position:absolute;left:0pt;margin-left:-530.4pt;margin-top:261.55pt;height:56.3pt;width:16.65pt;z-index:251661312;mso-width-relative:page;mso-height-relative:page;" filled="f" stroked="t" coordsize="21600,21600" o:gfxdata="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Y/XwjcAAAADwEAAA8AAAAAAAAAAQAgAAAAIgAAAGRycy9kb3ducmV2LnhtbFBLAQIU&#10;ABQAAAAIAIdO4kCsdCJR7wEAALIDAAAOAAAAAAAAAAEAIAAAACsBAABkcnMvZTJvRG9jLnhtbFBL&#10;BQYAAAAABgAGAFkBAACMBQAAAAA=&#10;" adj="532">
                <v:fill on="f" focussize="0,0"/>
                <v:stroke color="#000000" joinstyle="round"/>
                <v:imagedata o:title=""/>
                <o:lock v:ext="edit" aspectratio="f"/>
                <v:textbox>
                  <w:txbxContent>
                    <w:p>
                      <w:pPr>
                        <w:jc w:val="center"/>
                      </w:pPr>
                    </w:p>
                  </w:txbxContent>
                </v:textbox>
              </v:shape>
            </w:pict>
          </mc:Fallback>
        </mc:AlternateContent>
      </w:r>
      <w:r>
        <w:rPr>
          <w:rFonts w:hint="eastAsia" w:ascii="黑体" w:hAnsi="黑体" w:eastAsia="黑体" w:cs="黑体"/>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-7381875</wp:posOffset>
                </wp:positionH>
                <wp:positionV relativeFrom="paragraph">
                  <wp:posOffset>3686810</wp:posOffset>
                </wp:positionV>
                <wp:extent cx="640715" cy="5080"/>
                <wp:effectExtent l="0" t="0" r="0" b="0"/>
                <wp:wrapNone/>
                <wp:docPr id="6" name="直接连接符 6"/>
                <wp:cNvGraphicFramePr/>
                <a:graphic xmlns:a="http://schemas.openxmlformats.org/drawingml/2006/main">
                  <a:graphicData uri="http://schemas.microsoft.com/office/word/2010/wordprocessingShape">
                    <wps:wsp>
                      <wps:cNvCnPr/>
                      <wps:spPr>
                        <a:xfrm flipV="1">
                          <a:off x="2527300" y="5730240"/>
                          <a:ext cx="640715" cy="508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581.25pt;margin-top:290.3pt;height:0.4pt;width:50.45pt;z-index:251660288;mso-width-relative:page;mso-height-relative:page;" filled="f" stroked="t" coordsize="21600,21600" o:gfxdata="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SIak2wAAAA8BAAAPAAAAAAAAAAEAIAAAACIAAABkcnMvZG93bnJldi54bWxQSwEC&#10;FAAUAAAACACHTuJAri7ybPEBAACrAwAADgAAAAAAAAABACAAAAAqAQAAZHJzL2Uyb0RvYy54bWxQ&#10;SwUGAAAAAAYABgBZAQAAjQUAAAAA&#10;">
                <v:fill on="f" focussize="0,0"/>
                <v:stroke color="#000000" joinstyle="round"/>
                <v:imagedata o:title=""/>
                <o:lock v:ext="edit" aspectratio="f"/>
              </v:line>
            </w:pict>
          </mc:Fallback>
        </mc:AlternateContent>
      </w:r>
      <w:r>
        <w:rPr>
          <w:rFonts w:hint="eastAsia" w:ascii="黑体" w:hAnsi="黑体" w:eastAsia="黑体" w:cs="黑体"/>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-6736080</wp:posOffset>
                </wp:positionH>
                <wp:positionV relativeFrom="paragraph">
                  <wp:posOffset>3321685</wp:posOffset>
                </wp:positionV>
                <wp:extent cx="211455" cy="715010"/>
                <wp:effectExtent l="4445" t="4445" r="12700" b="23495"/>
                <wp:wrapNone/>
                <wp:docPr id="9" name="左中括号 9"/>
                <wp:cNvGraphicFramePr/>
                <a:graphic xmlns:a="http://schemas.openxmlformats.org/drawingml/2006/main">
                  <a:graphicData uri="http://schemas.microsoft.com/office/word/2010/wordprocessingShape">
                    <wps:wsp>
                      <wps:cNvSpPr/>
                      <wps:spPr>
                        <a:xfrm>
                          <a:off x="3331845" y="5365115"/>
                          <a:ext cx="211455" cy="715010"/>
                        </a:xfrm>
                        <a:prstGeom prst="leftBracket">
                          <a:avLst/>
                        </a:prstGeom>
                        <a:noFill/>
                        <a:ln w="9525" cap="flat" cmpd="sng" algn="ctr">
                          <a:solidFill>
                            <a:srgbClr val="000000">
                              <a:shade val="95000"/>
                              <a:satMod val="105000"/>
                            </a:srgbClr>
                          </a:solidFill>
                          <a:prstDash val="solid"/>
                        </a:ln>
                        <a:effectLst/>
                      </wps:spPr>
                      <wps:txbx>
                        <w:txbxContent>
                          <w:p>
                            <w:pPr>
                              <w:jc w:val="center"/>
                            </w:pPr>
                          </w:p>
                        </w:txbxContent>
                      </wps:txbx>
                      <wps:bodyPr/>
                    </wps:wsp>
                  </a:graphicData>
                </a:graphic>
              </wp:anchor>
            </w:drawing>
          </mc:Choice>
          <mc:Fallback>
            <w:pict>
              <v:shape id="_x0000_s1026" o:spid="_x0000_s1026" o:spt="85" type="#_x0000_t85" style="position:absolute;left:0pt;margin-left:-530.4pt;margin-top:261.55pt;height:56.3pt;width:16.65pt;z-index:251663360;mso-width-relative:page;mso-height-relative:page;" filled="f" stroked="t" coordsize="21600,21600" o:gfxdata="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P18I3AAAAA8BAAAPAAAAAAAAAAEAIAAAACIAAABkcnMvZG93bnJldi54bWxQSwEC&#10;FAAUAAAACACHTuJAlVgN8fABAACyAwAADgAAAAAAAAABACAAAAArAQAAZHJzL2Uyb0RvYy54bWxQ&#10;SwUGAAAAAAYABgBZAQAAjQUAAAAA&#10;" adj="532">
                <v:fill on="f" focussize="0,0"/>
                <v:stroke color="#000000" joinstyle="round"/>
                <v:imagedata o:title=""/>
                <o:lock v:ext="edit" aspectratio="f"/>
                <v:textbox>
                  <w:txbxContent>
                    <w:p>
                      <w:pPr>
                        <w:jc w:val="center"/>
                      </w:pPr>
                    </w:p>
                  </w:txbxContent>
                </v:textbox>
              </v:shape>
            </w:pict>
          </mc:Fallback>
        </mc:AlternateContent>
      </w:r>
      <w:r>
        <w:rPr>
          <w:rFonts w:hint="eastAsia" w:ascii="黑体" w:hAnsi="黑体" w:eastAsia="黑体" w:cs="黑体"/>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-7381875</wp:posOffset>
                </wp:positionH>
                <wp:positionV relativeFrom="paragraph">
                  <wp:posOffset>3686810</wp:posOffset>
                </wp:positionV>
                <wp:extent cx="640715" cy="5080"/>
                <wp:effectExtent l="0" t="0" r="0" b="0"/>
                <wp:wrapNone/>
                <wp:docPr id="10" name="直接连接符 10"/>
                <wp:cNvGraphicFramePr/>
                <a:graphic xmlns:a="http://schemas.openxmlformats.org/drawingml/2006/main">
                  <a:graphicData uri="http://schemas.microsoft.com/office/word/2010/wordprocessingShape">
                    <wps:wsp>
                      <wps:cNvCnPr/>
                      <wps:spPr>
                        <a:xfrm flipV="1">
                          <a:off x="2527300" y="5730240"/>
                          <a:ext cx="640715" cy="508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581.25pt;margin-top:290.3pt;height:0.4pt;width:50.45pt;z-index:251662336;mso-width-relative:page;mso-height-relative:page;" filled="f" stroked="t" coordsize="21600,21600" o:gfxdata="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0iGpNsAAAAPAQAADwAAAAAAAAABACAAAAAiAAAAZHJzL2Rvd25yZXYueG1sUEsBAhQA&#10;FAAAAAgAh07iQHPuePHvAQAArQMAAA4AAAAAAAAAAQAgAAAAKgEAAGRycy9lMm9Eb2MueG1sUEsF&#10;BgAAAAAGAAYAWQEAAIsFAAAAAA==&#10;">
                <v:fill on="f" focussize="0,0"/>
                <v:stroke color="#000000" joinstyle="round"/>
                <v:imagedata o:title=""/>
                <o:lock v:ext="edit" aspectratio="f"/>
              </v:line>
            </w:pict>
          </mc:Fallback>
        </mc:AlternateContent>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pStyle w:val="2"/>
        <w:rPr>
          <w:rFonts w:hint="eastAsia"/>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Times New Roman" w:hAnsi="Times New Roman" w:eastAsia="微软简标宋" w:cs="Times New Roman"/>
          <w:color w:val="auto"/>
          <w:sz w:val="44"/>
          <w:szCs w:val="44"/>
          <w:lang w:val="en-US" w:eastAsia="zh-CN"/>
        </w:rPr>
      </w:pPr>
      <w:r>
        <w:rPr>
          <w:rFonts w:hint="eastAsia" w:ascii="Times New Roman" w:hAnsi="Times New Roman" w:eastAsia="微软简标宋" w:cs="Times New Roman"/>
          <w:color w:val="auto"/>
          <w:sz w:val="44"/>
          <w:szCs w:val="44"/>
          <w:lang w:val="en-US" w:eastAsia="zh-CN"/>
        </w:rPr>
        <w:t>三亚市旅游文化体育大型活动</w:t>
      </w: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Times New Roman" w:hAnsi="Times New Roman" w:eastAsia="微软简标宋" w:cs="Times New Roman"/>
          <w:color w:val="auto"/>
          <w:sz w:val="44"/>
          <w:szCs w:val="44"/>
          <w:lang w:val="en-US" w:eastAsia="zh-CN"/>
        </w:rPr>
      </w:pPr>
      <w:r>
        <w:rPr>
          <w:rFonts w:hint="eastAsia" w:ascii="Times New Roman" w:hAnsi="Times New Roman" w:eastAsia="微软简标宋" w:cs="Times New Roman"/>
          <w:color w:val="auto"/>
          <w:sz w:val="44"/>
          <w:szCs w:val="44"/>
          <w:lang w:val="en-US" w:eastAsia="zh-CN"/>
        </w:rPr>
        <w:t>扶持奖励申请材料</w:t>
      </w: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Times New Roman" w:hAnsi="Times New Roman" w:eastAsia="微软简标宋" w:cs="Times New Roman"/>
          <w:color w:val="auto"/>
          <w:sz w:val="44"/>
          <w:szCs w:val="44"/>
          <w:lang w:val="en-US" w:eastAsia="zh-CN"/>
        </w:rPr>
      </w:pPr>
      <w:r>
        <w:rPr>
          <w:rFonts w:hint="eastAsia" w:ascii="Times New Roman" w:hAnsi="Times New Roman" w:eastAsia="微软简标宋" w:cs="Times New Roman"/>
          <w:color w:val="auto"/>
          <w:sz w:val="44"/>
          <w:szCs w:val="44"/>
          <w:lang w:val="en-US" w:eastAsia="zh-CN"/>
        </w:rPr>
        <w:t>（模板）</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default" w:ascii="Times New Roman" w:hAnsi="Times New Roman" w:eastAsia="黑体" w:cs="Times New Roman"/>
          <w:color w:val="auto"/>
          <w:kern w:val="0"/>
          <w:sz w:val="44"/>
          <w:szCs w:val="44"/>
        </w:rPr>
      </w:pPr>
    </w:p>
    <w:p>
      <w:pPr>
        <w:pStyle w:val="2"/>
        <w:rPr>
          <w:rFonts w:hint="default"/>
        </w:rPr>
      </w:pP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lang w:eastAsia="zh-CN"/>
        </w:rPr>
        <w:t>活动名称：</w:t>
      </w:r>
      <w:r>
        <w:rPr>
          <w:rFonts w:hint="default" w:ascii="Times New Roman" w:hAnsi="Times New Roman" w:eastAsia="黑体" w:cs="Times New Roman"/>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lang w:eastAsia="zh-CN"/>
        </w:rPr>
        <w:t>申请</w:t>
      </w:r>
      <w:r>
        <w:rPr>
          <w:rFonts w:hint="default" w:ascii="Times New Roman" w:hAnsi="Times New Roman" w:eastAsia="黑体" w:cs="Times New Roman"/>
          <w:color w:val="auto"/>
          <w:kern w:val="0"/>
          <w:sz w:val="32"/>
          <w:szCs w:val="32"/>
        </w:rPr>
        <w:t>单位</w:t>
      </w:r>
      <w:r>
        <w:rPr>
          <w:rFonts w:hint="default" w:ascii="Times New Roman" w:hAnsi="Times New Roman" w:eastAsia="黑体" w:cs="Times New Roman"/>
          <w:color w:val="auto"/>
          <w:kern w:val="0"/>
          <w:sz w:val="32"/>
          <w:szCs w:val="32"/>
          <w:lang w:eastAsia="zh-CN"/>
        </w:rPr>
        <w:t>：</w:t>
      </w:r>
      <w:r>
        <w:rPr>
          <w:rFonts w:hint="default" w:ascii="Times New Roman" w:hAnsi="Times New Roman" w:eastAsia="黑体" w:cs="Times New Roman"/>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eastAsia="zh-CN"/>
        </w:rPr>
        <w:t>申请日期</w:t>
      </w:r>
      <w:r>
        <w:rPr>
          <w:rFonts w:hint="default" w:ascii="Times New Roman" w:hAnsi="Times New Roman" w:eastAsia="黑体" w:cs="Times New Roman"/>
          <w:color w:val="auto"/>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lang w:eastAsia="zh-CN"/>
        </w:rPr>
        <w:t>经</w:t>
      </w: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eastAsia="zh-CN"/>
        </w:rPr>
        <w:t>办</w:t>
      </w: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eastAsia="zh-CN"/>
        </w:rPr>
        <w:t>人：</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u w:val="single"/>
          <w:lang w:val="en-US" w:eastAsia="zh-CN"/>
        </w:rPr>
      </w:pPr>
      <w:r>
        <w:rPr>
          <w:rFonts w:hint="default" w:ascii="Times New Roman" w:hAnsi="Times New Roman" w:eastAsia="黑体" w:cs="Times New Roman"/>
          <w:color w:val="auto"/>
          <w:kern w:val="0"/>
          <w:sz w:val="32"/>
          <w:szCs w:val="32"/>
          <w:lang w:eastAsia="zh-CN"/>
        </w:rPr>
        <w:t>电</w:t>
      </w: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eastAsia="zh-CN"/>
        </w:rPr>
        <w:t>话：</w:t>
      </w:r>
    </w:p>
    <w:p>
      <w:pPr>
        <w:keepNext w:val="0"/>
        <w:keepLines w:val="0"/>
        <w:pageBreakBefore w:val="0"/>
        <w:widowControl/>
        <w:kinsoku/>
        <w:wordWrap/>
        <w:overflowPunct/>
        <w:topLinePunct w:val="0"/>
        <w:autoSpaceDE/>
        <w:autoSpaceDN/>
        <w:bidi w:val="0"/>
        <w:adjustRightInd w:val="0"/>
        <w:snapToGrid w:val="0"/>
        <w:spacing w:line="780" w:lineRule="exact"/>
        <w:ind w:left="0" w:leftChars="0" w:right="0" w:rightChars="0" w:firstLine="832" w:firstLineChars="260"/>
        <w:jc w:val="both"/>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u w:val="none"/>
          <w:lang w:val="en-US" w:eastAsia="zh-CN"/>
        </w:rPr>
        <w:t xml:space="preserve">项目编号：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eastAsia="黑体" w:cs="Times New Roman"/>
          <w:color w:val="auto"/>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eastAsia="黑体" w:cs="Times New Roman"/>
          <w:color w:val="auto"/>
          <w:kern w:val="0"/>
          <w:sz w:val="44"/>
          <w:szCs w:val="44"/>
        </w:rPr>
      </w:pPr>
    </w:p>
    <w:p>
      <w:pPr>
        <w:pStyle w:val="2"/>
        <w:rPr>
          <w:rFonts w:hint="default"/>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eastAsia="黑体" w:cs="Times New Roman"/>
          <w:color w:val="auto"/>
          <w:kern w:val="0"/>
          <w:sz w:val="44"/>
          <w:szCs w:val="44"/>
        </w:rPr>
      </w:pPr>
    </w:p>
    <w:p>
      <w:pPr>
        <w:pStyle w:val="2"/>
        <w:rPr>
          <w:rFonts w:hint="default" w:ascii="Times New Roman" w:hAnsi="Times New Roman" w:cs="Times New Roman"/>
          <w:color w:val="auto"/>
          <w:lang w:eastAsia="zh-CN"/>
        </w:rPr>
      </w:pPr>
    </w:p>
    <w:p>
      <w:pPr>
        <w:rPr>
          <w:rFonts w:hint="default" w:ascii="Times New Roman" w:hAnsi="Times New Roman" w:cs="Times New Roman"/>
          <w:color w:val="auto"/>
          <w:lang w:eastAsia="zh-CN"/>
        </w:rPr>
      </w:pPr>
    </w:p>
    <w:p>
      <w:pPr>
        <w:pStyle w:val="2"/>
        <w:rPr>
          <w:rFonts w:hint="default" w:ascii="Times New Roman" w:hAnsi="Times New Roman" w:cs="Times New Roman"/>
          <w:color w:val="auto"/>
          <w:lang w:eastAsia="zh-CN"/>
        </w:rPr>
      </w:pP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目  录</w:t>
      </w:r>
    </w:p>
    <w:p>
      <w:pPr>
        <w:keepNext w:val="0"/>
        <w:keepLines w:val="0"/>
        <w:pageBreakBefore w:val="0"/>
        <w:widowControl/>
        <w:kinsoku/>
        <w:wordWrap/>
        <w:overflowPunct/>
        <w:topLinePunct w:val="0"/>
        <w:autoSpaceDE/>
        <w:autoSpaceDN/>
        <w:bidi w:val="0"/>
        <w:adjustRightInd w:val="0"/>
        <w:snapToGrid w:val="0"/>
        <w:spacing w:line="600" w:lineRule="exact"/>
        <w:ind w:right="0" w:rightChars="0"/>
        <w:jc w:val="left"/>
        <w:textAlignment w:val="auto"/>
        <w:outlineLvl w:val="9"/>
        <w:rPr>
          <w:rFonts w:hint="default" w:ascii="Times New Roman" w:hAnsi="Times New Roman" w:eastAsia="黑体" w:cs="Times New Roman"/>
          <w:color w:val="auto"/>
          <w:kern w:val="0"/>
          <w:sz w:val="32"/>
          <w:szCs w:val="32"/>
          <w:lang w:val="en-US" w:eastAsia="zh-CN"/>
        </w:rPr>
      </w:pPr>
      <w:r>
        <w:rPr>
          <w:rFonts w:hint="default" w:ascii="Times New Roman" w:hAnsi="Times New Roman" w:eastAsia="微软雅黑" w:cs="Times New Roman"/>
          <w:color w:val="auto"/>
          <w:kern w:val="0"/>
          <w:sz w:val="32"/>
          <w:szCs w:val="32"/>
          <w:lang w:eastAsia="zh-CN"/>
        </w:rPr>
        <w:t>Ⅰ</w:t>
      </w:r>
      <w:r>
        <w:rPr>
          <w:rFonts w:hint="eastAsia" w:ascii="Times New Roman" w:hAnsi="Times New Roman" w:eastAsia="微软雅黑" w:cs="Times New Roman"/>
          <w:color w:val="auto"/>
          <w:kern w:val="0"/>
          <w:sz w:val="32"/>
          <w:szCs w:val="32"/>
          <w:lang w:val="en-US" w:eastAsia="zh-CN"/>
        </w:rPr>
        <w:t>.</w:t>
      </w:r>
      <w:r>
        <w:rPr>
          <w:rFonts w:hint="default" w:ascii="Times New Roman" w:hAnsi="Times New Roman" w:eastAsia="黑体" w:cs="Times New Roman"/>
          <w:color w:val="auto"/>
          <w:kern w:val="0"/>
          <w:sz w:val="32"/>
          <w:szCs w:val="32"/>
          <w:lang w:val="en-US" w:eastAsia="zh-CN" w:bidi="ar-SA"/>
        </w:rPr>
        <w:t>三亚市旅游文化体育大型活动扶持奖励申请表</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right="0" w:rightChars="0"/>
        <w:jc w:val="left"/>
        <w:textAlignment w:val="auto"/>
        <w:outlineLvl w:val="9"/>
        <w:rPr>
          <w:rFonts w:hint="default" w:ascii="Times New Roman" w:hAnsi="Times New Roman" w:eastAsia="黑体" w:cs="Times New Roman"/>
          <w:color w:val="auto"/>
          <w:kern w:val="0"/>
          <w:sz w:val="32"/>
          <w:szCs w:val="32"/>
          <w:lang w:eastAsia="zh-CN"/>
        </w:rPr>
      </w:pPr>
      <w:r>
        <w:rPr>
          <w:rFonts w:hint="default" w:ascii="Times New Roman" w:hAnsi="Times New Roman" w:eastAsia="微软雅黑" w:cs="Times New Roman"/>
          <w:color w:val="auto"/>
          <w:kern w:val="0"/>
          <w:sz w:val="32"/>
          <w:szCs w:val="32"/>
          <w:lang w:val="en-US" w:eastAsia="zh-CN"/>
        </w:rPr>
        <w:t>Ⅱ</w:t>
      </w:r>
      <w:r>
        <w:rPr>
          <w:rFonts w:hint="default" w:ascii="Times New Roman" w:hAnsi="Times New Roman" w:eastAsia="黑体" w:cs="Times New Roman"/>
          <w:color w:val="auto"/>
          <w:kern w:val="0"/>
          <w:sz w:val="32"/>
          <w:szCs w:val="32"/>
          <w:lang w:val="en-US" w:eastAsia="zh-CN"/>
        </w:rPr>
        <w:t>.</w:t>
      </w:r>
      <w:r>
        <w:rPr>
          <w:rFonts w:hint="default" w:ascii="Times New Roman" w:hAnsi="Times New Roman" w:eastAsia="黑体" w:cs="Times New Roman"/>
          <w:color w:val="auto"/>
          <w:kern w:val="0"/>
          <w:sz w:val="32"/>
          <w:szCs w:val="32"/>
          <w:lang w:eastAsia="zh-CN"/>
        </w:rPr>
        <w:t>基本材料</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黑体" w:cs="Times New Roman"/>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left="963" w:leftChars="301" w:right="0" w:rightChars="0" w:firstLine="6" w:firstLineChars="0"/>
        <w:jc w:val="left"/>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一、大型活动总体方案</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（一）工作方案···········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（二）经费预算···········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（三）预期效益···········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（四）宣传方案···········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（五）疫情防护及医疗救助预案····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（六）突发事件应急预案·······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1257" w:firstLineChars="393"/>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（七）安全保障方案······· </w:t>
      </w:r>
    </w:p>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firstLine="640" w:firstLineChars="200"/>
        <w:jc w:val="left"/>
        <w:textAlignment w:val="auto"/>
        <w:outlineLvl w:val="9"/>
        <w:rPr>
          <w:rFonts w:hint="default" w:ascii="Times New Roman" w:hAnsi="Times New Roman" w:eastAsia="楷体" w:cs="Times New Roman"/>
          <w:color w:val="auto"/>
          <w:kern w:val="0"/>
          <w:sz w:val="28"/>
          <w:szCs w:val="28"/>
          <w:lang w:val="en-US" w:eastAsia="zh-CN"/>
        </w:rPr>
      </w:pPr>
      <w:r>
        <w:rPr>
          <w:rFonts w:hint="default" w:ascii="Times New Roman" w:hAnsi="Times New Roman" w:eastAsia="楷体" w:cs="Times New Roman"/>
          <w:color w:val="auto"/>
          <w:sz w:val="32"/>
          <w:szCs w:val="32"/>
          <w:lang w:val="en-US" w:eastAsia="zh-CN"/>
        </w:rPr>
        <w:t>二、活动安全生产承诺书</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left="1606" w:leftChars="304" w:right="0" w:rightChars="0" w:hanging="633" w:hangingChars="198"/>
        <w:jc w:val="left"/>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三、历史相关材料</w:t>
      </w:r>
      <w:r>
        <w:rPr>
          <w:rFonts w:hint="default" w:ascii="Times New Roman" w:hAnsi="Times New Roman" w:eastAsia="仿宋_GB2312" w:cs="Times New Roman"/>
          <w:color w:val="auto"/>
          <w:sz w:val="32"/>
          <w:szCs w:val="32"/>
          <w:lang w:val="en-US" w:eastAsia="zh-CN"/>
        </w:rPr>
        <w:t xml:space="preserve">········  </w:t>
      </w:r>
    </w:p>
    <w:p>
      <w:pPr>
        <w:pStyle w:val="2"/>
        <w:ind w:left="1606" w:leftChars="304" w:hanging="633" w:hangingChars="198"/>
        <w:jc w:val="left"/>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kern w:val="2"/>
          <w:sz w:val="32"/>
          <w:szCs w:val="32"/>
          <w:lang w:val="en-US" w:eastAsia="zh-CN" w:bidi="ar-SA"/>
        </w:rPr>
        <w:t>四、授权证明材料</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0"/>
          <w:sz w:val="32"/>
          <w:szCs w:val="32"/>
          <w:lang w:val="en-US" w:eastAsia="zh-CN"/>
        </w:rPr>
        <w:t xml:space="preserve"> </w:t>
      </w:r>
      <w:r>
        <w:rPr>
          <w:rFonts w:hint="default" w:ascii="Times New Roman" w:hAnsi="Times New Roman" w:eastAsia="微软雅黑" w:cs="Times New Roman"/>
          <w:color w:val="auto"/>
          <w:kern w:val="0"/>
          <w:sz w:val="32"/>
          <w:szCs w:val="32"/>
          <w:lang w:val="en-US" w:eastAsia="zh-CN"/>
        </w:rPr>
        <w:t>Ⅲ</w:t>
      </w:r>
      <w:r>
        <w:rPr>
          <w:rFonts w:hint="eastAsia" w:ascii="Times New Roman" w:hAnsi="Times New Roman" w:eastAsia="微软雅黑" w:cs="Times New Roman"/>
          <w:color w:val="auto"/>
          <w:kern w:val="0"/>
          <w:sz w:val="32"/>
          <w:szCs w:val="32"/>
          <w:lang w:val="en-US" w:eastAsia="zh-CN"/>
        </w:rPr>
        <w:t>.</w:t>
      </w:r>
      <w:r>
        <w:rPr>
          <w:rFonts w:hint="default" w:ascii="Times New Roman" w:hAnsi="Times New Roman" w:eastAsia="黑体" w:cs="Times New Roman"/>
          <w:color w:val="auto"/>
          <w:kern w:val="0"/>
          <w:sz w:val="32"/>
          <w:szCs w:val="32"/>
          <w:lang w:val="en-US" w:eastAsia="zh-CN"/>
        </w:rPr>
        <w:t>社会组织或企业申请需提供的补充材料</w:t>
      </w:r>
      <w:r>
        <w:rPr>
          <w:rFonts w:hint="default" w:ascii="Times New Roman" w:hAnsi="Times New Roman" w:eastAsia="仿宋_GB2312" w:cs="Times New Roman"/>
          <w:color w:val="auto"/>
          <w:kern w:val="0"/>
          <w:sz w:val="28"/>
          <w:szCs w:val="28"/>
          <w:lang w:val="en-US" w:eastAsia="zh-CN"/>
        </w:rPr>
        <w:t xml:space="preserve">···· </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firstLine="640" w:firstLineChars="200"/>
        <w:jc w:val="left"/>
        <w:textAlignment w:val="auto"/>
        <w:rPr>
          <w:rFonts w:hint="default" w:ascii="Times New Roman" w:hAnsi="Times New Roman" w:eastAsia="楷体" w:cs="Times New Roman"/>
          <w:color w:val="auto"/>
          <w:kern w:val="2"/>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五、主办方法定代表人、主要负责人身份证件或登记、注册的证明材料及复印件</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firstLine="640" w:firstLineChars="200"/>
        <w:jc w:val="left"/>
        <w:textAlignment w:val="auto"/>
        <w:rPr>
          <w:rFonts w:hint="default" w:ascii="Times New Roman" w:hAnsi="Times New Roman" w:eastAsia="楷体" w:cs="Times New Roman"/>
          <w:color w:val="auto"/>
          <w:kern w:val="2"/>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六、近一年纳税凭证和社会保障金缴费凭证</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楷体" w:cs="Times New Roman"/>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spacing w:beforeLines="0" w:beforeAutospacing="0" w:afterLines="0" w:afterAutospacing="0" w:line="600" w:lineRule="exact"/>
        <w:ind w:right="0" w:rightChars="0" w:firstLine="640" w:firstLineChars="200"/>
        <w:jc w:val="left"/>
        <w:textAlignment w:val="auto"/>
        <w:rPr>
          <w:rFonts w:hint="default" w:ascii="Times New Roman" w:hAnsi="Times New Roman" w:eastAsia="楷体" w:cs="Times New Roman"/>
          <w:color w:val="auto"/>
          <w:kern w:val="2"/>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七、近三年无失信、违法违规行为证明</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楷体" w:cs="Times New Roman"/>
          <w:color w:val="auto"/>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Lines="0" w:afterLines="0" w:line="579" w:lineRule="exact"/>
        <w:ind w:right="0" w:rightChars="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kern w:val="2"/>
          <w:sz w:val="32"/>
          <w:szCs w:val="32"/>
          <w:lang w:val="en-US" w:eastAsia="zh-CN" w:bidi="ar-SA"/>
        </w:rPr>
        <w:t>八、《信用承诺书》</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楷体" w:cs="Times New Roman"/>
          <w:color w:val="auto"/>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0" w:firstLineChars="0"/>
        <w:jc w:val="left"/>
        <w:textAlignment w:val="auto"/>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cs="Times New Roman"/>
          <w:color w:val="auto"/>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三亚市旅游文化体育大型活动扶持奖励</w:t>
      </w: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申请表</w:t>
      </w:r>
    </w:p>
    <w:p>
      <w:pPr>
        <w:pStyle w:val="2"/>
        <w:jc w:val="left"/>
        <w:rPr>
          <w:rFonts w:hint="default" w:ascii="Times New Roman" w:hAnsi="Times New Roman"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color w:val="auto"/>
          <w:sz w:val="28"/>
          <w:szCs w:val="28"/>
          <w:lang w:val="en-US" w:eastAsia="zh-CN"/>
        </w:rPr>
      </w:pPr>
      <w:r>
        <w:rPr>
          <w:rFonts w:hint="default" w:ascii="Times New Roman" w:hAnsi="Times New Roman" w:cs="Times New Roman"/>
          <w:color w:val="auto"/>
          <w:kern w:val="0"/>
          <w:sz w:val="24"/>
          <w:highlight w:val="none"/>
          <w:lang w:val="en-US" w:eastAsia="zh-CN"/>
        </w:rPr>
        <w:t>填写时间：                                     项目编码：</w:t>
      </w:r>
    </w:p>
    <w:tbl>
      <w:tblPr>
        <w:tblStyle w:val="4"/>
        <w:tblW w:w="9119" w:type="dxa"/>
        <w:jc w:val="center"/>
        <w:tblInd w:w="0" w:type="dxa"/>
        <w:tblLayout w:type="fixed"/>
        <w:tblCellMar>
          <w:top w:w="0" w:type="dxa"/>
          <w:left w:w="108" w:type="dxa"/>
          <w:bottom w:w="0" w:type="dxa"/>
          <w:right w:w="108" w:type="dxa"/>
        </w:tblCellMar>
      </w:tblPr>
      <w:tblGrid>
        <w:gridCol w:w="518"/>
        <w:gridCol w:w="1972"/>
        <w:gridCol w:w="2075"/>
        <w:gridCol w:w="2110"/>
        <w:gridCol w:w="2444"/>
      </w:tblGrid>
      <w:tr>
        <w:tblPrEx>
          <w:tblLayout w:type="fixed"/>
          <w:tblCellMar>
            <w:top w:w="0" w:type="dxa"/>
            <w:left w:w="108" w:type="dxa"/>
            <w:bottom w:w="0" w:type="dxa"/>
            <w:right w:w="108" w:type="dxa"/>
          </w:tblCellMar>
        </w:tblPrEx>
        <w:trPr>
          <w:trHeight w:val="700" w:hRule="atLeast"/>
          <w:jc w:val="center"/>
        </w:trPr>
        <w:tc>
          <w:tcPr>
            <w:tcW w:w="24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活动名称</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r>
      <w:tr>
        <w:tblPrEx>
          <w:tblLayout w:type="fixed"/>
          <w:tblCellMar>
            <w:top w:w="0" w:type="dxa"/>
            <w:left w:w="108" w:type="dxa"/>
            <w:bottom w:w="0" w:type="dxa"/>
            <w:right w:w="108" w:type="dxa"/>
          </w:tblCellMar>
        </w:tblPrEx>
        <w:trPr>
          <w:trHeight w:val="730" w:hRule="atLeast"/>
          <w:jc w:val="center"/>
        </w:trPr>
        <w:tc>
          <w:tcPr>
            <w:tcW w:w="24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申请单位</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r>
      <w:tr>
        <w:tblPrEx>
          <w:tblLayout w:type="fixed"/>
          <w:tblCellMar>
            <w:top w:w="0" w:type="dxa"/>
            <w:left w:w="108" w:type="dxa"/>
            <w:bottom w:w="0" w:type="dxa"/>
            <w:right w:w="108" w:type="dxa"/>
          </w:tblCellMar>
        </w:tblPrEx>
        <w:trPr>
          <w:trHeight w:val="920" w:hRule="atLeast"/>
          <w:jc w:val="center"/>
        </w:trPr>
        <w:tc>
          <w:tcPr>
            <w:tcW w:w="24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eastAsia="宋体" w:cs="Times New Roman"/>
                <w:b/>
                <w:bCs/>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活动负责人</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eastAsia="宋体" w:cs="Times New Roman"/>
                <w:color w:val="auto"/>
                <w:kern w:val="0"/>
                <w:sz w:val="28"/>
                <w:szCs w:val="28"/>
                <w:highlight w:val="none"/>
                <w:lang w:val="en-US" w:eastAsia="zh-CN"/>
              </w:rPr>
            </w:pPr>
            <w:r>
              <w:rPr>
                <w:rFonts w:hint="default" w:ascii="Times New Roman" w:hAnsi="Times New Roman" w:cs="Times New Roman"/>
                <w:color w:val="auto"/>
                <w:kern w:val="0"/>
                <w:sz w:val="28"/>
                <w:szCs w:val="28"/>
                <w:highlight w:val="none"/>
                <w:lang w:val="en-US" w:eastAsia="zh-CN"/>
              </w:rPr>
              <w:t>姓名、职务、联系方式</w:t>
            </w:r>
          </w:p>
        </w:tc>
      </w:tr>
      <w:tr>
        <w:tblPrEx>
          <w:tblLayout w:type="fixed"/>
          <w:tblCellMar>
            <w:top w:w="0" w:type="dxa"/>
            <w:left w:w="108" w:type="dxa"/>
            <w:bottom w:w="0" w:type="dxa"/>
            <w:right w:w="108" w:type="dxa"/>
          </w:tblCellMar>
        </w:tblPrEx>
        <w:trPr>
          <w:trHeight w:val="1121" w:hRule="atLeast"/>
          <w:jc w:val="center"/>
        </w:trPr>
        <w:tc>
          <w:tcPr>
            <w:tcW w:w="24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申请经费种类</w:t>
            </w:r>
          </w:p>
          <w:p>
            <w:pPr>
              <w:widowControl/>
              <w:spacing w:line="360" w:lineRule="exact"/>
              <w:jc w:val="center"/>
              <w:rPr>
                <w:rFonts w:hint="default" w:ascii="Times New Roman" w:hAnsi="Times New Roman" w:cs="Times New Roman"/>
                <w:color w:val="auto"/>
                <w:kern w:val="0"/>
                <w:sz w:val="28"/>
                <w:szCs w:val="28"/>
                <w:highlight w:val="none"/>
                <w:lang w:val="en-US" w:eastAsia="zh-CN"/>
              </w:rPr>
            </w:pPr>
            <w:r>
              <w:rPr>
                <w:rFonts w:hint="default" w:ascii="Times New Roman" w:hAnsi="Times New Roman" w:cs="Times New Roman"/>
                <w:color w:val="auto"/>
                <w:kern w:val="0"/>
                <w:szCs w:val="21"/>
                <w:highlight w:val="none"/>
              </w:rPr>
              <w:t>（单选</w:t>
            </w:r>
            <w:r>
              <w:rPr>
                <w:rFonts w:hint="default"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lang w:val="en-US" w:eastAsia="zh-CN"/>
              </w:rPr>
              <w:t>根据与初评单位议定情况填写</w:t>
            </w:r>
            <w:r>
              <w:rPr>
                <w:rFonts w:hint="default" w:ascii="Times New Roman" w:hAnsi="Times New Roman" w:cs="Times New Roman"/>
                <w:color w:val="auto"/>
                <w:kern w:val="0"/>
                <w:szCs w:val="21"/>
                <w:highlight w:val="none"/>
              </w:rPr>
              <w:t>）</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auto"/>
                <w:kern w:val="0"/>
                <w:sz w:val="28"/>
                <w:szCs w:val="28"/>
                <w:highlight w:val="none"/>
                <w:lang w:val="en-US" w:eastAsia="zh-CN"/>
              </w:rPr>
            </w:pPr>
            <w:r>
              <w:rPr>
                <w:rFonts w:hint="default" w:ascii="Times New Roman" w:hAnsi="Times New Roman" w:cs="Times New Roman"/>
                <w:color w:val="auto"/>
                <w:kern w:val="0"/>
                <w:sz w:val="28"/>
                <w:szCs w:val="28"/>
                <w:highlight w:val="none"/>
              </w:rPr>
              <w:sym w:font="Wingdings 2" w:char="00A3"/>
            </w:r>
            <w:r>
              <w:rPr>
                <w:rFonts w:hint="default" w:ascii="Times New Roman" w:hAnsi="Times New Roman" w:cs="Times New Roman"/>
                <w:color w:val="auto"/>
                <w:kern w:val="0"/>
                <w:sz w:val="28"/>
                <w:szCs w:val="28"/>
                <w:highlight w:val="none"/>
              </w:rPr>
              <w:t xml:space="preserve">活动扶持经费   </w:t>
            </w:r>
            <w:r>
              <w:rPr>
                <w:rFonts w:hint="default" w:ascii="Times New Roman" w:hAnsi="Times New Roman" w:cs="Times New Roman"/>
                <w:color w:val="auto"/>
                <w:kern w:val="0"/>
                <w:sz w:val="28"/>
                <w:szCs w:val="28"/>
                <w:highlight w:val="none"/>
              </w:rPr>
              <w:sym w:font="Wingdings 2" w:char="00A3"/>
            </w:r>
            <w:r>
              <w:rPr>
                <w:rFonts w:hint="default" w:ascii="Times New Roman" w:hAnsi="Times New Roman" w:cs="Times New Roman"/>
                <w:color w:val="auto"/>
                <w:kern w:val="0"/>
                <w:sz w:val="28"/>
                <w:szCs w:val="28"/>
                <w:highlight w:val="none"/>
              </w:rPr>
              <w:t>活动奖励经费</w:t>
            </w:r>
          </w:p>
        </w:tc>
      </w:tr>
      <w:tr>
        <w:tblPrEx>
          <w:tblLayout w:type="fixed"/>
          <w:tblCellMar>
            <w:top w:w="0" w:type="dxa"/>
            <w:left w:w="108" w:type="dxa"/>
            <w:bottom w:w="0" w:type="dxa"/>
            <w:right w:w="108" w:type="dxa"/>
          </w:tblCellMar>
        </w:tblPrEx>
        <w:trPr>
          <w:trHeight w:val="818" w:hRule="atLeast"/>
          <w:jc w:val="center"/>
        </w:trPr>
        <w:tc>
          <w:tcPr>
            <w:tcW w:w="518" w:type="dxa"/>
            <w:vMerge w:val="restart"/>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p>
            <w:pPr>
              <w:widowControl/>
              <w:spacing w:line="560" w:lineRule="atLeast"/>
              <w:jc w:val="center"/>
              <w:rPr>
                <w:rFonts w:hint="default" w:ascii="Times New Roman" w:hAnsi="Times New Roman" w:eastAsia="宋体" w:cs="Times New Roman"/>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活动要素</w:t>
            </w:r>
          </w:p>
        </w:tc>
        <w:tc>
          <w:tcPr>
            <w:tcW w:w="1972" w:type="dxa"/>
            <w:tcBorders>
              <w:top w:val="single" w:color="000000" w:sz="4" w:space="0"/>
              <w:left w:val="nil"/>
              <w:bottom w:val="single" w:color="000000" w:sz="4" w:space="0"/>
              <w:right w:val="single" w:color="000000" w:sz="4" w:space="0"/>
            </w:tcBorders>
            <w:noWrap w:val="0"/>
            <w:vAlign w:val="center"/>
          </w:tcPr>
          <w:p>
            <w:pPr>
              <w:widowControl/>
              <w:spacing w:line="400" w:lineRule="exact"/>
              <w:ind w:firstLine="140"/>
              <w:jc w:val="center"/>
              <w:rPr>
                <w:rFonts w:hint="default" w:ascii="Times New Roman" w:hAnsi="Times New Roman" w:eastAsia="宋体" w:cs="Times New Roman"/>
                <w:b/>
                <w:bCs/>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举办时间</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28"/>
                <w:szCs w:val="28"/>
                <w:highlight w:val="none"/>
              </w:rPr>
            </w:pPr>
          </w:p>
        </w:tc>
        <w:tc>
          <w:tcPr>
            <w:tcW w:w="21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28"/>
                <w:szCs w:val="28"/>
                <w:highlight w:val="none"/>
              </w:rPr>
            </w:pPr>
            <w:r>
              <w:rPr>
                <w:rFonts w:hint="default" w:ascii="Times New Roman" w:hAnsi="Times New Roman" w:cs="Times New Roman"/>
                <w:color w:val="auto"/>
                <w:kern w:val="0"/>
                <w:sz w:val="28"/>
                <w:szCs w:val="28"/>
                <w:highlight w:val="none"/>
              </w:rPr>
              <w:t>举办地点</w:t>
            </w:r>
          </w:p>
        </w:tc>
        <w:tc>
          <w:tcPr>
            <w:tcW w:w="244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28"/>
                <w:szCs w:val="28"/>
                <w:highlight w:val="none"/>
              </w:rPr>
            </w:pPr>
          </w:p>
        </w:tc>
      </w:tr>
      <w:tr>
        <w:tblPrEx>
          <w:tblLayout w:type="fixed"/>
          <w:tblCellMar>
            <w:top w:w="0" w:type="dxa"/>
            <w:left w:w="108" w:type="dxa"/>
            <w:bottom w:w="0" w:type="dxa"/>
            <w:right w:w="108" w:type="dxa"/>
          </w:tblCellMar>
        </w:tblPrEx>
        <w:trPr>
          <w:trHeight w:val="907" w:hRule="atLeast"/>
          <w:jc w:val="center"/>
        </w:trPr>
        <w:tc>
          <w:tcPr>
            <w:tcW w:w="518" w:type="dxa"/>
            <w:vMerge w:val="continue"/>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c>
          <w:tcPr>
            <w:tcW w:w="1972" w:type="dxa"/>
            <w:tcBorders>
              <w:top w:val="single" w:color="000000" w:sz="4" w:space="0"/>
              <w:left w:val="nil"/>
              <w:bottom w:val="single" w:color="000000" w:sz="4" w:space="0"/>
              <w:right w:val="single" w:color="000000" w:sz="4" w:space="0"/>
            </w:tcBorders>
            <w:noWrap w:val="0"/>
            <w:vAlign w:val="center"/>
          </w:tcPr>
          <w:p>
            <w:pPr>
              <w:widowControl/>
              <w:spacing w:line="400" w:lineRule="exact"/>
              <w:ind w:firstLine="140"/>
              <w:jc w:val="center"/>
              <w:rPr>
                <w:rFonts w:hint="default" w:ascii="Times New Roman" w:hAnsi="Times New Roman" w:eastAsia="宋体" w:cs="Times New Roman"/>
                <w:b/>
                <w:bCs/>
                <w:color w:val="auto"/>
                <w:kern w:val="0"/>
                <w:sz w:val="28"/>
                <w:szCs w:val="28"/>
                <w:highlight w:val="none"/>
                <w:lang w:eastAsia="zh-CN"/>
              </w:rPr>
            </w:pPr>
            <w:r>
              <w:rPr>
                <w:rFonts w:hint="default" w:ascii="Times New Roman" w:hAnsi="Times New Roman" w:cs="Times New Roman"/>
                <w:b/>
                <w:bCs/>
                <w:color w:val="auto"/>
                <w:kern w:val="0"/>
                <w:sz w:val="28"/>
                <w:szCs w:val="28"/>
                <w:highlight w:val="none"/>
                <w:lang w:val="en-US" w:eastAsia="zh-CN"/>
              </w:rPr>
              <w:t>主办单位</w:t>
            </w:r>
          </w:p>
        </w:tc>
        <w:tc>
          <w:tcPr>
            <w:tcW w:w="6629"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18"/>
                <w:szCs w:val="28"/>
                <w:highlight w:val="none"/>
              </w:rPr>
            </w:pPr>
          </w:p>
        </w:tc>
      </w:tr>
      <w:tr>
        <w:tblPrEx>
          <w:tblLayout w:type="fixed"/>
          <w:tblCellMar>
            <w:top w:w="0" w:type="dxa"/>
            <w:left w:w="108" w:type="dxa"/>
            <w:bottom w:w="0" w:type="dxa"/>
            <w:right w:w="108" w:type="dxa"/>
          </w:tblCellMar>
        </w:tblPrEx>
        <w:trPr>
          <w:trHeight w:val="721" w:hRule="atLeast"/>
          <w:jc w:val="center"/>
        </w:trPr>
        <w:tc>
          <w:tcPr>
            <w:tcW w:w="518" w:type="dxa"/>
            <w:vMerge w:val="continue"/>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c>
          <w:tcPr>
            <w:tcW w:w="197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spacing w:val="-20"/>
                <w:kern w:val="0"/>
                <w:sz w:val="28"/>
                <w:szCs w:val="28"/>
                <w:highlight w:val="none"/>
              </w:rPr>
              <w:t>承办单位</w:t>
            </w:r>
          </w:p>
        </w:tc>
        <w:tc>
          <w:tcPr>
            <w:tcW w:w="6629"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cs="Times New Roman"/>
                <w:color w:val="auto"/>
                <w:kern w:val="0"/>
                <w:sz w:val="28"/>
                <w:szCs w:val="28"/>
                <w:highlight w:val="none"/>
              </w:rPr>
            </w:pPr>
          </w:p>
        </w:tc>
      </w:tr>
      <w:tr>
        <w:tblPrEx>
          <w:tblLayout w:type="fixed"/>
          <w:tblCellMar>
            <w:top w:w="0" w:type="dxa"/>
            <w:left w:w="108" w:type="dxa"/>
            <w:bottom w:w="0" w:type="dxa"/>
            <w:right w:w="108" w:type="dxa"/>
          </w:tblCellMar>
        </w:tblPrEx>
        <w:trPr>
          <w:trHeight w:val="888" w:hRule="atLeast"/>
          <w:jc w:val="center"/>
        </w:trPr>
        <w:tc>
          <w:tcPr>
            <w:tcW w:w="518" w:type="dxa"/>
            <w:vMerge w:val="continue"/>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c>
          <w:tcPr>
            <w:tcW w:w="197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宋体" w:cs="Times New Roman"/>
                <w:b/>
                <w:bCs/>
                <w:color w:val="auto"/>
                <w:spacing w:val="-20"/>
                <w:kern w:val="0"/>
                <w:sz w:val="28"/>
                <w:szCs w:val="28"/>
                <w:highlight w:val="none"/>
                <w:lang w:eastAsia="zh-CN"/>
              </w:rPr>
            </w:pPr>
            <w:r>
              <w:rPr>
                <w:rFonts w:hint="default" w:ascii="Times New Roman" w:hAnsi="Times New Roman" w:cs="Times New Roman"/>
                <w:b/>
                <w:bCs/>
                <w:color w:val="auto"/>
                <w:spacing w:val="-20"/>
                <w:kern w:val="0"/>
                <w:sz w:val="28"/>
                <w:szCs w:val="28"/>
                <w:highlight w:val="none"/>
                <w:lang w:val="en-US" w:eastAsia="zh-CN"/>
              </w:rPr>
              <w:t>协办、支持、指导单位</w:t>
            </w:r>
          </w:p>
        </w:tc>
        <w:tc>
          <w:tcPr>
            <w:tcW w:w="6629"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both"/>
              <w:textAlignment w:val="auto"/>
              <w:outlineLvl w:val="9"/>
              <w:rPr>
                <w:rFonts w:hint="default" w:ascii="Times New Roman" w:hAnsi="Times New Roman" w:cs="Times New Roman"/>
                <w:color w:val="auto"/>
                <w:kern w:val="0"/>
                <w:sz w:val="28"/>
                <w:szCs w:val="28"/>
                <w:highlight w:val="none"/>
              </w:rPr>
            </w:pPr>
          </w:p>
        </w:tc>
      </w:tr>
      <w:tr>
        <w:tblPrEx>
          <w:tblLayout w:type="fixed"/>
          <w:tblCellMar>
            <w:top w:w="0" w:type="dxa"/>
            <w:left w:w="108" w:type="dxa"/>
            <w:bottom w:w="0" w:type="dxa"/>
            <w:right w:w="108" w:type="dxa"/>
          </w:tblCellMar>
        </w:tblPrEx>
        <w:trPr>
          <w:trHeight w:val="1934" w:hRule="atLeast"/>
          <w:jc w:val="center"/>
        </w:trPr>
        <w:tc>
          <w:tcPr>
            <w:tcW w:w="518" w:type="dxa"/>
            <w:vMerge w:val="continue"/>
            <w:tcBorders>
              <w:top w:val="nil"/>
              <w:left w:val="single" w:color="000000"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p>
        </w:tc>
        <w:tc>
          <w:tcPr>
            <w:tcW w:w="197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142"/>
              <w:jc w:val="center"/>
              <w:textAlignment w:val="auto"/>
              <w:rPr>
                <w:rFonts w:hint="default" w:ascii="Times New Roman" w:hAnsi="Times New Roman" w:cs="Times New Roman"/>
                <w:b/>
                <w:bCs/>
                <w:color w:val="auto"/>
                <w:spacing w:val="-20"/>
                <w:kern w:val="0"/>
                <w:sz w:val="28"/>
                <w:szCs w:val="28"/>
                <w:highlight w:val="none"/>
              </w:rPr>
            </w:pPr>
            <w:r>
              <w:rPr>
                <w:rFonts w:hint="default" w:ascii="Times New Roman" w:hAnsi="Times New Roman" w:cs="Times New Roman"/>
                <w:b/>
                <w:bCs/>
                <w:color w:val="auto"/>
                <w:spacing w:val="-20"/>
                <w:kern w:val="0"/>
                <w:sz w:val="28"/>
                <w:szCs w:val="28"/>
                <w:highlight w:val="none"/>
              </w:rPr>
              <w:t>活动总预算</w:t>
            </w:r>
          </w:p>
          <w:p>
            <w:pPr>
              <w:keepNext w:val="0"/>
              <w:keepLines w:val="0"/>
              <w:pageBreakBefore w:val="0"/>
              <w:widowControl/>
              <w:kinsoku/>
              <w:wordWrap/>
              <w:overflowPunct/>
              <w:topLinePunct w:val="0"/>
              <w:autoSpaceDE/>
              <w:autoSpaceDN/>
              <w:bidi w:val="0"/>
              <w:adjustRightInd/>
              <w:snapToGrid/>
              <w:spacing w:line="360" w:lineRule="exact"/>
              <w:ind w:firstLine="142"/>
              <w:jc w:val="center"/>
              <w:textAlignment w:val="auto"/>
              <w:rPr>
                <w:rFonts w:hint="default" w:ascii="Times New Roman" w:hAnsi="Times New Roman" w:cs="Times New Roman"/>
                <w:b/>
                <w:bCs/>
                <w:color w:val="auto"/>
                <w:kern w:val="0"/>
                <w:sz w:val="28"/>
                <w:szCs w:val="28"/>
                <w:highlight w:val="none"/>
              </w:rPr>
            </w:pPr>
            <w:r>
              <w:rPr>
                <w:rFonts w:hint="default" w:ascii="Times New Roman" w:hAnsi="Times New Roman" w:cs="Times New Roman"/>
                <w:b w:val="0"/>
                <w:bCs w:val="0"/>
                <w:color w:val="auto"/>
                <w:spacing w:val="-20"/>
                <w:kern w:val="0"/>
                <w:szCs w:val="21"/>
                <w:highlight w:val="none"/>
              </w:rPr>
              <w:t>（单位：万元）</w:t>
            </w:r>
          </w:p>
        </w:tc>
        <w:tc>
          <w:tcPr>
            <w:tcW w:w="2075"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p>
        </w:tc>
        <w:tc>
          <w:tcPr>
            <w:tcW w:w="21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142"/>
              <w:jc w:val="center"/>
              <w:textAlignment w:val="auto"/>
              <w:rPr>
                <w:rFonts w:hint="default" w:ascii="Times New Roman" w:hAnsi="Times New Roman" w:cs="Times New Roman"/>
                <w:b/>
                <w:bCs/>
                <w:color w:val="auto"/>
                <w:spacing w:val="-20"/>
                <w:kern w:val="0"/>
                <w:sz w:val="28"/>
                <w:szCs w:val="28"/>
                <w:highlight w:val="none"/>
              </w:rPr>
            </w:pPr>
            <w:r>
              <w:rPr>
                <w:rFonts w:hint="default" w:ascii="Times New Roman" w:hAnsi="Times New Roman" w:cs="Times New Roman"/>
                <w:b/>
                <w:bCs/>
                <w:color w:val="auto"/>
                <w:spacing w:val="-20"/>
                <w:kern w:val="0"/>
                <w:sz w:val="28"/>
                <w:szCs w:val="28"/>
                <w:highlight w:val="none"/>
              </w:rPr>
              <w:t>申请金额</w:t>
            </w:r>
          </w:p>
          <w:p>
            <w:pPr>
              <w:keepNext w:val="0"/>
              <w:keepLines w:val="0"/>
              <w:pageBreakBefore w:val="0"/>
              <w:widowControl/>
              <w:kinsoku/>
              <w:wordWrap/>
              <w:overflowPunct/>
              <w:topLinePunct w:val="0"/>
              <w:autoSpaceDE/>
              <w:autoSpaceDN/>
              <w:bidi w:val="0"/>
              <w:adjustRightInd/>
              <w:snapToGrid/>
              <w:spacing w:line="360" w:lineRule="exact"/>
              <w:ind w:firstLine="142"/>
              <w:jc w:val="center"/>
              <w:textAlignment w:val="auto"/>
              <w:rPr>
                <w:rFonts w:hint="default" w:ascii="Times New Roman" w:hAnsi="Times New Roman" w:cs="Times New Roman"/>
                <w:b/>
                <w:bCs/>
                <w:color w:val="auto"/>
                <w:kern w:val="0"/>
                <w:sz w:val="28"/>
                <w:szCs w:val="28"/>
                <w:highlight w:val="none"/>
              </w:rPr>
            </w:pPr>
            <w:r>
              <w:rPr>
                <w:rFonts w:hint="default" w:ascii="Times New Roman" w:hAnsi="Times New Roman" w:cs="Times New Roman"/>
                <w:b w:val="0"/>
                <w:bCs w:val="0"/>
                <w:color w:val="auto"/>
                <w:spacing w:val="-20"/>
                <w:kern w:val="0"/>
                <w:szCs w:val="21"/>
                <w:highlight w:val="none"/>
              </w:rPr>
              <w:t>（单位：万元）</w:t>
            </w:r>
          </w:p>
        </w:tc>
        <w:tc>
          <w:tcPr>
            <w:tcW w:w="244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atLeast"/>
              <w:jc w:val="left"/>
              <w:textAlignment w:val="auto"/>
              <w:rPr>
                <w:rFonts w:hint="default" w:ascii="Times New Roman" w:hAnsi="Times New Roman" w:cs="Times New Roman"/>
                <w:b/>
                <w:bCs/>
                <w:color w:val="auto"/>
                <w:kern w:val="0"/>
                <w:sz w:val="28"/>
                <w:szCs w:val="28"/>
                <w:highlight w:val="none"/>
              </w:rPr>
            </w:pPr>
            <w:r>
              <w:rPr>
                <w:rFonts w:hint="default" w:ascii="Times New Roman" w:hAnsi="Times New Roman" w:cs="Times New Roman"/>
                <w:color w:val="auto"/>
                <w:kern w:val="0"/>
                <w:sz w:val="28"/>
                <w:szCs w:val="20"/>
                <w:highlight w:val="none"/>
              </w:rPr>
              <w:t>（</w:t>
            </w:r>
            <w:r>
              <w:rPr>
                <w:rFonts w:hint="default" w:ascii="Times New Roman" w:hAnsi="Times New Roman" w:cs="Times New Roman"/>
                <w:color w:val="auto"/>
                <w:kern w:val="0"/>
                <w:sz w:val="28"/>
                <w:szCs w:val="20"/>
                <w:highlight w:val="none"/>
                <w:lang w:val="en-US" w:eastAsia="zh-CN"/>
              </w:rPr>
              <w:t>注：申请扶持经费的项目，</w:t>
            </w:r>
            <w:r>
              <w:rPr>
                <w:rFonts w:hint="default" w:ascii="Times New Roman" w:hAnsi="Times New Roman" w:cs="Times New Roman"/>
                <w:color w:val="auto"/>
                <w:kern w:val="0"/>
                <w:sz w:val="28"/>
                <w:szCs w:val="20"/>
                <w:highlight w:val="none"/>
              </w:rPr>
              <w:t>经费</w:t>
            </w:r>
            <w:r>
              <w:rPr>
                <w:rFonts w:hint="default" w:ascii="Times New Roman" w:hAnsi="Times New Roman" w:cs="Times New Roman"/>
                <w:color w:val="auto"/>
                <w:kern w:val="0"/>
                <w:sz w:val="28"/>
                <w:szCs w:val="20"/>
                <w:highlight w:val="none"/>
                <w:lang w:val="en-US" w:eastAsia="zh-CN"/>
              </w:rPr>
              <w:t>额度</w:t>
            </w:r>
            <w:r>
              <w:rPr>
                <w:rFonts w:hint="default" w:ascii="Times New Roman" w:hAnsi="Times New Roman" w:cs="Times New Roman"/>
                <w:color w:val="auto"/>
                <w:kern w:val="0"/>
                <w:sz w:val="28"/>
                <w:szCs w:val="20"/>
                <w:highlight w:val="none"/>
              </w:rPr>
              <w:t>应根据</w:t>
            </w:r>
            <w:r>
              <w:rPr>
                <w:rFonts w:hint="default" w:ascii="Times New Roman" w:hAnsi="Times New Roman" w:cs="Times New Roman"/>
                <w:color w:val="auto"/>
                <w:kern w:val="0"/>
                <w:sz w:val="28"/>
                <w:szCs w:val="20"/>
                <w:highlight w:val="none"/>
                <w:lang w:val="en-US" w:eastAsia="zh-CN"/>
              </w:rPr>
              <w:t>初评单位初评</w:t>
            </w:r>
            <w:r>
              <w:rPr>
                <w:rFonts w:hint="default" w:ascii="Times New Roman" w:hAnsi="Times New Roman" w:cs="Times New Roman"/>
                <w:color w:val="auto"/>
                <w:kern w:val="0"/>
                <w:sz w:val="28"/>
                <w:szCs w:val="20"/>
                <w:highlight w:val="none"/>
              </w:rPr>
              <w:t>结果得出</w:t>
            </w:r>
            <w:r>
              <w:rPr>
                <w:rFonts w:hint="default" w:ascii="Times New Roman" w:hAnsi="Times New Roman" w:cs="Times New Roman"/>
                <w:color w:val="auto"/>
                <w:kern w:val="0"/>
                <w:sz w:val="28"/>
                <w:szCs w:val="20"/>
                <w:highlight w:val="none"/>
                <w:lang w:eastAsia="zh-CN"/>
              </w:rPr>
              <w:t>；</w:t>
            </w:r>
            <w:r>
              <w:rPr>
                <w:rFonts w:hint="default" w:ascii="Times New Roman" w:hAnsi="Times New Roman" w:cs="Times New Roman"/>
                <w:color w:val="auto"/>
                <w:kern w:val="0"/>
                <w:sz w:val="28"/>
                <w:szCs w:val="20"/>
                <w:highlight w:val="none"/>
                <w:lang w:val="en-US" w:eastAsia="zh-CN"/>
              </w:rPr>
              <w:t>申请奖励的项目不填此项</w:t>
            </w:r>
            <w:r>
              <w:rPr>
                <w:rFonts w:hint="default" w:ascii="Times New Roman" w:hAnsi="Times New Roman" w:cs="Times New Roman"/>
                <w:color w:val="auto"/>
                <w:kern w:val="0"/>
                <w:sz w:val="28"/>
                <w:szCs w:val="20"/>
                <w:highlight w:val="none"/>
              </w:rPr>
              <w:t>）</w:t>
            </w:r>
          </w:p>
        </w:tc>
      </w:tr>
      <w:tr>
        <w:tblPrEx>
          <w:tblLayout w:type="fixed"/>
          <w:tblCellMar>
            <w:top w:w="0" w:type="dxa"/>
            <w:left w:w="108" w:type="dxa"/>
            <w:bottom w:w="0" w:type="dxa"/>
            <w:right w:w="108" w:type="dxa"/>
          </w:tblCellMar>
        </w:tblPrEx>
        <w:trPr>
          <w:trHeight w:val="2145" w:hRule="atLeast"/>
          <w:jc w:val="center"/>
        </w:trPr>
        <w:tc>
          <w:tcPr>
            <w:tcW w:w="518" w:type="dxa"/>
            <w:vMerge w:val="restart"/>
            <w:tcBorders>
              <w:top w:val="single" w:color="000000" w:sz="4" w:space="0"/>
              <w:left w:val="single" w:color="000000" w:sz="4" w:space="0"/>
              <w:right w:val="single" w:color="auto" w:sz="4" w:space="0"/>
            </w:tcBorders>
            <w:noWrap w:val="0"/>
            <w:vAlign w:val="center"/>
          </w:tcPr>
          <w:p>
            <w:pPr>
              <w:widowControl/>
              <w:spacing w:line="30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spacing w:val="-20"/>
                <w:kern w:val="0"/>
                <w:sz w:val="28"/>
                <w:szCs w:val="28"/>
                <w:highlight w:val="none"/>
              </w:rPr>
              <w:t>经济社会效益指标</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 w:val="28"/>
                <w:szCs w:val="28"/>
                <w:highlight w:val="none"/>
              </w:rPr>
              <w:t>参与规模</w:t>
            </w:r>
          </w:p>
        </w:tc>
        <w:tc>
          <w:tcPr>
            <w:tcW w:w="66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color w:val="auto"/>
                <w:kern w:val="0"/>
                <w:sz w:val="28"/>
                <w:szCs w:val="20"/>
                <w:highlight w:val="none"/>
              </w:rPr>
            </w:pPr>
            <w:r>
              <w:rPr>
                <w:rFonts w:hint="default" w:ascii="Times New Roman" w:hAnsi="Times New Roman" w:cs="Times New Roman"/>
                <w:color w:val="auto"/>
                <w:kern w:val="0"/>
                <w:sz w:val="28"/>
                <w:szCs w:val="20"/>
                <w:highlight w:val="none"/>
              </w:rPr>
              <w:t>（指直接参与人数，包括参邀嘉宾、参展商、报名选手、工作人员等，不含现场观众）</w:t>
            </w:r>
          </w:p>
        </w:tc>
      </w:tr>
      <w:tr>
        <w:tblPrEx>
          <w:tblLayout w:type="fixed"/>
          <w:tblCellMar>
            <w:top w:w="0" w:type="dxa"/>
            <w:left w:w="108" w:type="dxa"/>
            <w:bottom w:w="0" w:type="dxa"/>
            <w:right w:w="108" w:type="dxa"/>
          </w:tblCellMar>
        </w:tblPrEx>
        <w:trPr>
          <w:trHeight w:val="2164" w:hRule="atLeast"/>
          <w:jc w:val="center"/>
        </w:trPr>
        <w:tc>
          <w:tcPr>
            <w:tcW w:w="518" w:type="dxa"/>
            <w:vMerge w:val="continue"/>
            <w:tcBorders>
              <w:left w:val="single" w:color="000000" w:sz="4" w:space="0"/>
              <w:right w:val="single" w:color="auto" w:sz="4" w:space="0"/>
            </w:tcBorders>
            <w:noWrap w:val="0"/>
            <w:vAlign w:val="center"/>
          </w:tcPr>
          <w:p>
            <w:pPr>
              <w:widowControl/>
              <w:spacing w:line="360" w:lineRule="exact"/>
              <w:jc w:val="left"/>
              <w:rPr>
                <w:rFonts w:hint="default" w:ascii="Times New Roman" w:hAnsi="Times New Roman" w:cs="Times New Roman"/>
                <w:color w:val="auto"/>
                <w:highlight w:val="none"/>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 w:val="28"/>
                <w:szCs w:val="28"/>
                <w:highlight w:val="none"/>
                <w:lang w:val="en-US" w:eastAsia="zh-CN"/>
              </w:rPr>
              <w:t>民生效益或</w:t>
            </w:r>
            <w:r>
              <w:rPr>
                <w:rFonts w:hint="default" w:ascii="Times New Roman" w:hAnsi="Times New Roman" w:cs="Times New Roman"/>
                <w:b/>
                <w:bCs/>
                <w:color w:val="auto"/>
                <w:kern w:val="0"/>
                <w:sz w:val="28"/>
                <w:szCs w:val="28"/>
                <w:highlight w:val="none"/>
              </w:rPr>
              <w:t>预估客流量</w:t>
            </w:r>
          </w:p>
        </w:tc>
        <w:tc>
          <w:tcPr>
            <w:tcW w:w="66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宋体" w:cs="Times New Roman"/>
                <w:color w:val="auto"/>
                <w:kern w:val="0"/>
                <w:sz w:val="28"/>
                <w:szCs w:val="20"/>
                <w:highlight w:val="none"/>
                <w:lang w:eastAsia="zh-CN"/>
              </w:rPr>
            </w:pPr>
            <w:r>
              <w:rPr>
                <w:rFonts w:hint="default" w:ascii="Times New Roman" w:hAnsi="Times New Roman" w:cs="Times New Roman"/>
                <w:color w:val="auto"/>
                <w:kern w:val="0"/>
                <w:sz w:val="28"/>
                <w:szCs w:val="20"/>
                <w:highlight w:val="none"/>
              </w:rPr>
              <w:t>（</w:t>
            </w:r>
            <w:r>
              <w:rPr>
                <w:rFonts w:hint="default" w:ascii="Times New Roman" w:hAnsi="Times New Roman" w:cs="Times New Roman"/>
                <w:color w:val="auto"/>
                <w:kern w:val="0"/>
                <w:sz w:val="28"/>
                <w:szCs w:val="20"/>
                <w:highlight w:val="none"/>
                <w:lang w:val="en-US" w:eastAsia="zh-CN"/>
              </w:rPr>
              <w:t>群众性文体活动产生的民生效益：指给三亚本地群众带来是实际民生效益，包括提升居民文化体育素养、促进文体设施水平提升、丰富居民精神文化生活等实惠；市场主体参与的大型活动产生的客流量：</w:t>
            </w:r>
            <w:r>
              <w:rPr>
                <w:rFonts w:hint="default" w:ascii="Times New Roman" w:hAnsi="Times New Roman" w:cs="Times New Roman"/>
                <w:color w:val="auto"/>
                <w:kern w:val="0"/>
                <w:sz w:val="28"/>
                <w:szCs w:val="20"/>
                <w:highlight w:val="none"/>
              </w:rPr>
              <w:t>指给三亚带来的预估客流量，包括直接吸引的现场观众和间接带来的陪同客流。需提供数据统计口径说明，多届举办的成熟活动需给出历史数据</w:t>
            </w:r>
            <w:r>
              <w:rPr>
                <w:rFonts w:hint="default" w:ascii="Times New Roman" w:hAnsi="Times New Roman" w:cs="Times New Roman"/>
                <w:color w:val="auto"/>
                <w:kern w:val="0"/>
                <w:sz w:val="28"/>
                <w:szCs w:val="20"/>
                <w:highlight w:val="none"/>
                <w:lang w:eastAsia="zh-CN"/>
              </w:rPr>
              <w:t>）</w:t>
            </w:r>
          </w:p>
        </w:tc>
      </w:tr>
      <w:tr>
        <w:tblPrEx>
          <w:tblLayout w:type="fixed"/>
          <w:tblCellMar>
            <w:top w:w="0" w:type="dxa"/>
            <w:left w:w="108" w:type="dxa"/>
            <w:bottom w:w="0" w:type="dxa"/>
            <w:right w:w="108" w:type="dxa"/>
          </w:tblCellMar>
        </w:tblPrEx>
        <w:trPr>
          <w:trHeight w:val="1691" w:hRule="atLeast"/>
          <w:jc w:val="center"/>
        </w:trPr>
        <w:tc>
          <w:tcPr>
            <w:tcW w:w="518" w:type="dxa"/>
            <w:vMerge w:val="restart"/>
            <w:tcBorders>
              <w:top w:val="single" w:color="auto" w:sz="4" w:space="0"/>
              <w:left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传播效益指标</w:t>
            </w:r>
          </w:p>
        </w:tc>
        <w:tc>
          <w:tcPr>
            <w:tcW w:w="1972" w:type="dxa"/>
            <w:tcBorders>
              <w:top w:val="single" w:color="auto" w:sz="4" w:space="0"/>
              <w:left w:val="nil"/>
              <w:bottom w:val="single" w:color="000000" w:sz="4" w:space="0"/>
              <w:right w:val="single" w:color="auto"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计划邀请</w:t>
            </w:r>
          </w:p>
          <w:p>
            <w:pPr>
              <w:widowControl/>
              <w:spacing w:line="360" w:lineRule="exact"/>
              <w:jc w:val="center"/>
              <w:rPr>
                <w:rFonts w:hint="default" w:ascii="Times New Roman" w:hAnsi="Times New Roman" w:eastAsia="宋体" w:cs="Times New Roman"/>
                <w:b/>
                <w:bCs/>
                <w:color w:val="auto"/>
                <w:kern w:val="0"/>
                <w:sz w:val="28"/>
                <w:szCs w:val="28"/>
                <w:highlight w:val="none"/>
                <w:lang w:eastAsia="zh-CN"/>
              </w:rPr>
            </w:pPr>
            <w:r>
              <w:rPr>
                <w:rFonts w:hint="default" w:ascii="Times New Roman" w:hAnsi="Times New Roman" w:cs="Times New Roman"/>
                <w:b/>
                <w:bCs/>
                <w:color w:val="auto"/>
                <w:kern w:val="0"/>
                <w:sz w:val="28"/>
                <w:szCs w:val="28"/>
                <w:highlight w:val="none"/>
              </w:rPr>
              <w:t>媒体</w:t>
            </w:r>
            <w:r>
              <w:rPr>
                <w:rFonts w:hint="default" w:ascii="Times New Roman" w:hAnsi="Times New Roman" w:cs="Times New Roman"/>
                <w:b/>
                <w:bCs/>
                <w:color w:val="auto"/>
                <w:kern w:val="0"/>
                <w:sz w:val="28"/>
                <w:szCs w:val="28"/>
                <w:highlight w:val="none"/>
                <w:lang w:val="en-US" w:eastAsia="zh-CN"/>
              </w:rPr>
              <w:t>情况</w:t>
            </w:r>
          </w:p>
        </w:tc>
        <w:tc>
          <w:tcPr>
            <w:tcW w:w="662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rPr>
            </w:pPr>
            <w:r>
              <w:rPr>
                <w:rFonts w:hint="default" w:ascii="Times New Roman" w:hAnsi="Times New Roman" w:cs="Times New Roman"/>
                <w:color w:val="auto"/>
                <w:kern w:val="0"/>
                <w:sz w:val="28"/>
                <w:szCs w:val="28"/>
                <w:highlight w:val="none"/>
              </w:rPr>
              <w:t>国际媒体（）家、中央媒体（）家</w:t>
            </w:r>
          </w:p>
          <w:p>
            <w:pPr>
              <w:widowControl/>
              <w:spacing w:line="560" w:lineRule="atLeast"/>
              <w:jc w:val="center"/>
              <w:rPr>
                <w:rFonts w:hint="default" w:ascii="Times New Roman" w:hAnsi="Times New Roman" w:cs="Times New Roman"/>
                <w:color w:val="auto"/>
                <w:kern w:val="0"/>
                <w:szCs w:val="21"/>
                <w:highlight w:val="none"/>
                <w:u w:val="single"/>
              </w:rPr>
            </w:pPr>
            <w:r>
              <w:rPr>
                <w:rFonts w:hint="default" w:ascii="Times New Roman" w:hAnsi="Times New Roman" w:cs="Times New Roman"/>
                <w:color w:val="auto"/>
                <w:kern w:val="0"/>
                <w:sz w:val="28"/>
                <w:szCs w:val="28"/>
                <w:highlight w:val="none"/>
              </w:rPr>
              <w:t>地方媒体（）家、网络媒体（）家</w:t>
            </w:r>
          </w:p>
        </w:tc>
      </w:tr>
      <w:tr>
        <w:tblPrEx>
          <w:tblLayout w:type="fixed"/>
          <w:tblCellMar>
            <w:top w:w="0" w:type="dxa"/>
            <w:left w:w="108" w:type="dxa"/>
            <w:bottom w:w="0" w:type="dxa"/>
            <w:right w:w="108" w:type="dxa"/>
          </w:tblCellMar>
        </w:tblPrEx>
        <w:trPr>
          <w:trHeight w:val="1743" w:hRule="atLeast"/>
          <w:jc w:val="center"/>
        </w:trPr>
        <w:tc>
          <w:tcPr>
            <w:tcW w:w="518"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b/>
                <w:bCs/>
                <w:color w:val="auto"/>
                <w:kern w:val="0"/>
                <w:sz w:val="28"/>
                <w:szCs w:val="28"/>
                <w:highlight w:val="none"/>
              </w:rPr>
            </w:pPr>
          </w:p>
        </w:tc>
        <w:tc>
          <w:tcPr>
            <w:tcW w:w="1972" w:type="dxa"/>
            <w:tcBorders>
              <w:top w:val="single" w:color="000000" w:sz="4" w:space="0"/>
              <w:left w:val="nil"/>
              <w:bottom w:val="single" w:color="000000" w:sz="4" w:space="0"/>
              <w:right w:val="single" w:color="auto" w:sz="4" w:space="0"/>
            </w:tcBorders>
            <w:noWrap w:val="0"/>
            <w:vAlign w:val="center"/>
          </w:tcPr>
          <w:p>
            <w:pPr>
              <w:widowControl/>
              <w:spacing w:line="360" w:lineRule="exact"/>
              <w:jc w:val="center"/>
              <w:rPr>
                <w:rFonts w:hint="default" w:ascii="Times New Roman" w:hAnsi="Times New Roman" w:eastAsia="宋体" w:cs="Times New Roman"/>
                <w:b/>
                <w:bCs/>
                <w:color w:val="auto"/>
                <w:kern w:val="0"/>
                <w:sz w:val="28"/>
                <w:szCs w:val="28"/>
                <w:highlight w:val="none"/>
                <w:lang w:eastAsia="zh-CN"/>
              </w:rPr>
            </w:pPr>
            <w:r>
              <w:rPr>
                <w:rFonts w:hint="default" w:ascii="Times New Roman" w:hAnsi="Times New Roman" w:cs="Times New Roman"/>
                <w:b/>
                <w:bCs/>
                <w:color w:val="auto"/>
                <w:kern w:val="0"/>
                <w:sz w:val="28"/>
                <w:szCs w:val="28"/>
                <w:highlight w:val="none"/>
              </w:rPr>
              <w:t>计划</w:t>
            </w:r>
            <w:r>
              <w:rPr>
                <w:rFonts w:hint="default" w:ascii="Times New Roman" w:hAnsi="Times New Roman" w:cs="Times New Roman"/>
                <w:b/>
                <w:bCs/>
                <w:color w:val="auto"/>
                <w:kern w:val="0"/>
                <w:sz w:val="28"/>
                <w:szCs w:val="28"/>
                <w:highlight w:val="none"/>
                <w:lang w:val="en-US" w:eastAsia="zh-CN"/>
              </w:rPr>
              <w:t>宣传</w:t>
            </w:r>
          </w:p>
          <w:p>
            <w:pPr>
              <w:widowControl/>
              <w:spacing w:line="360" w:lineRule="exac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发布总量</w:t>
            </w:r>
          </w:p>
        </w:tc>
        <w:tc>
          <w:tcPr>
            <w:tcW w:w="6629"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color w:val="auto"/>
                <w:kern w:val="0"/>
                <w:sz w:val="28"/>
                <w:szCs w:val="28"/>
                <w:highlight w:val="none"/>
                <w:lang w:eastAsia="zh-CN"/>
              </w:rPr>
            </w:pPr>
            <w:r>
              <w:rPr>
                <w:rFonts w:hint="default" w:ascii="Times New Roman" w:hAnsi="Times New Roman" w:cs="Times New Roman"/>
                <w:color w:val="auto"/>
                <w:kern w:val="0"/>
                <w:sz w:val="28"/>
                <w:szCs w:val="28"/>
                <w:highlight w:val="none"/>
              </w:rPr>
              <w:t>国际媒体（）</w:t>
            </w:r>
            <w:r>
              <w:rPr>
                <w:rFonts w:hint="default" w:ascii="Times New Roman" w:hAnsi="Times New Roman" w:cs="Times New Roman"/>
                <w:color w:val="auto"/>
                <w:kern w:val="0"/>
                <w:sz w:val="28"/>
                <w:szCs w:val="28"/>
                <w:highlight w:val="none"/>
                <w:lang w:val="en-US" w:eastAsia="zh-CN"/>
              </w:rPr>
              <w:t>条</w:t>
            </w:r>
            <w:r>
              <w:rPr>
                <w:rFonts w:hint="default" w:ascii="Times New Roman" w:hAnsi="Times New Roman" w:cs="Times New Roman"/>
                <w:color w:val="auto"/>
                <w:kern w:val="0"/>
                <w:sz w:val="28"/>
                <w:szCs w:val="28"/>
                <w:highlight w:val="none"/>
              </w:rPr>
              <w:t>、中央媒体（）</w:t>
            </w:r>
            <w:r>
              <w:rPr>
                <w:rFonts w:hint="default" w:ascii="Times New Roman" w:hAnsi="Times New Roman" w:cs="Times New Roman"/>
                <w:color w:val="auto"/>
                <w:kern w:val="0"/>
                <w:sz w:val="28"/>
                <w:szCs w:val="28"/>
                <w:highlight w:val="none"/>
                <w:lang w:val="en-US" w:eastAsia="zh-CN"/>
              </w:rPr>
              <w:t>条</w:t>
            </w:r>
          </w:p>
          <w:p>
            <w:pPr>
              <w:widowControl/>
              <w:spacing w:line="56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 w:val="28"/>
                <w:szCs w:val="28"/>
                <w:highlight w:val="none"/>
              </w:rPr>
              <w:t>地方媒体（）</w:t>
            </w:r>
            <w:r>
              <w:rPr>
                <w:rFonts w:hint="default" w:ascii="Times New Roman" w:hAnsi="Times New Roman" w:cs="Times New Roman"/>
                <w:color w:val="auto"/>
                <w:kern w:val="0"/>
                <w:sz w:val="28"/>
                <w:szCs w:val="28"/>
                <w:highlight w:val="none"/>
                <w:lang w:val="en-US" w:eastAsia="zh-CN"/>
              </w:rPr>
              <w:t>条</w:t>
            </w:r>
            <w:r>
              <w:rPr>
                <w:rFonts w:hint="default" w:ascii="Times New Roman" w:hAnsi="Times New Roman" w:cs="Times New Roman"/>
                <w:color w:val="auto"/>
                <w:kern w:val="0"/>
                <w:sz w:val="28"/>
                <w:szCs w:val="28"/>
                <w:highlight w:val="none"/>
              </w:rPr>
              <w:t>、网络媒体（）阅读/播放量</w:t>
            </w:r>
          </w:p>
        </w:tc>
      </w:tr>
      <w:tr>
        <w:tblPrEx>
          <w:tblLayout w:type="fixed"/>
          <w:tblCellMar>
            <w:top w:w="0" w:type="dxa"/>
            <w:left w:w="108" w:type="dxa"/>
            <w:bottom w:w="0" w:type="dxa"/>
            <w:right w:w="108" w:type="dxa"/>
          </w:tblCellMar>
        </w:tblPrEx>
        <w:trPr>
          <w:trHeight w:val="4464" w:hRule="atLeast"/>
          <w:jc w:val="center"/>
        </w:trPr>
        <w:tc>
          <w:tcPr>
            <w:tcW w:w="2490" w:type="dxa"/>
            <w:gridSpan w:val="2"/>
            <w:tcBorders>
              <w:top w:val="single" w:color="000000" w:sz="4" w:space="0"/>
              <w:left w:val="single" w:color="000000" w:sz="4" w:space="0"/>
              <w:right w:val="single" w:color="000000" w:sz="4" w:space="0"/>
            </w:tcBorders>
            <w:noWrap w:val="0"/>
            <w:vAlign w:val="center"/>
          </w:tcPr>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活</w:t>
            </w:r>
          </w:p>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动</w:t>
            </w:r>
          </w:p>
          <w:p>
            <w:pPr>
              <w:widowControl/>
              <w:spacing w:line="560" w:lineRule="atLeast"/>
              <w:jc w:val="center"/>
              <w:rPr>
                <w:rFonts w:hint="default" w:ascii="Times New Roman" w:hAnsi="Times New Roman" w:cs="Times New Roman"/>
                <w:b/>
                <w:bCs/>
                <w:color w:val="auto"/>
                <w:kern w:val="0"/>
                <w:sz w:val="28"/>
                <w:szCs w:val="28"/>
                <w:highlight w:val="none"/>
              </w:rPr>
            </w:pPr>
            <w:r>
              <w:rPr>
                <w:rFonts w:hint="default" w:ascii="Times New Roman" w:hAnsi="Times New Roman" w:cs="Times New Roman"/>
                <w:b/>
                <w:bCs/>
                <w:color w:val="auto"/>
                <w:kern w:val="0"/>
                <w:sz w:val="28"/>
                <w:szCs w:val="28"/>
                <w:highlight w:val="none"/>
              </w:rPr>
              <w:t>概</w:t>
            </w:r>
          </w:p>
          <w:p>
            <w:pPr>
              <w:widowControl/>
              <w:spacing w:line="560" w:lineRule="atLeast"/>
              <w:jc w:val="center"/>
              <w:rPr>
                <w:rFonts w:hint="default" w:ascii="Times New Roman" w:hAnsi="Times New Roman" w:cs="Times New Roman"/>
                <w:color w:val="auto"/>
                <w:kern w:val="0"/>
                <w:sz w:val="28"/>
                <w:szCs w:val="28"/>
                <w:highlight w:val="none"/>
              </w:rPr>
            </w:pPr>
            <w:r>
              <w:rPr>
                <w:rFonts w:hint="default" w:ascii="Times New Roman" w:hAnsi="Times New Roman" w:cs="Times New Roman"/>
                <w:b/>
                <w:bCs/>
                <w:color w:val="auto"/>
                <w:kern w:val="0"/>
                <w:sz w:val="28"/>
                <w:szCs w:val="28"/>
                <w:highlight w:val="none"/>
              </w:rPr>
              <w:t>要</w:t>
            </w:r>
          </w:p>
        </w:tc>
        <w:tc>
          <w:tcPr>
            <w:tcW w:w="6629"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atLeast"/>
              <w:jc w:val="left"/>
              <w:rPr>
                <w:rFonts w:hint="default" w:ascii="Times New Roman" w:hAnsi="Times New Roman" w:cs="Times New Roman"/>
                <w:color w:val="auto"/>
                <w:kern w:val="0"/>
                <w:sz w:val="28"/>
                <w:szCs w:val="28"/>
                <w:highlight w:val="none"/>
              </w:rPr>
            </w:pPr>
            <w:r>
              <w:rPr>
                <w:rFonts w:hint="default" w:ascii="Times New Roman" w:hAnsi="Times New Roman" w:cs="Times New Roman"/>
                <w:color w:val="auto"/>
                <w:kern w:val="0"/>
                <w:sz w:val="28"/>
                <w:szCs w:val="28"/>
                <w:highlight w:val="none"/>
              </w:rPr>
              <w:t>一、</w:t>
            </w:r>
            <w:r>
              <w:rPr>
                <w:rFonts w:hint="default" w:ascii="Times New Roman" w:hAnsi="Times New Roman" w:cs="Times New Roman"/>
                <w:color w:val="auto"/>
                <w:kern w:val="0"/>
                <w:sz w:val="28"/>
                <w:szCs w:val="28"/>
                <w:highlight w:val="none"/>
                <w:lang w:val="en-US" w:eastAsia="zh-CN"/>
              </w:rPr>
              <w:t>活动内容</w:t>
            </w:r>
          </w:p>
          <w:p>
            <w:pPr>
              <w:widowControl/>
              <w:spacing w:line="560" w:lineRule="atLeast"/>
              <w:jc w:val="left"/>
              <w:rPr>
                <w:rFonts w:hint="default" w:ascii="Times New Roman" w:hAnsi="Times New Roman" w:cs="Times New Roman"/>
                <w:color w:val="auto"/>
                <w:kern w:val="0"/>
                <w:sz w:val="28"/>
                <w:szCs w:val="28"/>
                <w:highlight w:val="none"/>
              </w:rPr>
            </w:pPr>
          </w:p>
          <w:p>
            <w:pPr>
              <w:widowControl/>
              <w:spacing w:line="560" w:lineRule="atLeast"/>
              <w:jc w:val="left"/>
              <w:rPr>
                <w:rFonts w:hint="default" w:ascii="Times New Roman" w:hAnsi="Times New Roman" w:cs="Times New Roman"/>
                <w:color w:val="auto"/>
                <w:kern w:val="0"/>
                <w:sz w:val="28"/>
                <w:szCs w:val="28"/>
                <w:highlight w:val="none"/>
              </w:rPr>
            </w:pPr>
            <w:r>
              <w:rPr>
                <w:rFonts w:hint="default" w:ascii="Times New Roman" w:hAnsi="Times New Roman" w:cs="Times New Roman"/>
                <w:color w:val="auto"/>
                <w:kern w:val="0"/>
                <w:sz w:val="28"/>
                <w:szCs w:val="28"/>
                <w:highlight w:val="none"/>
              </w:rPr>
              <w:t>二、活动亮点（拟邀知名嘉宾等）</w:t>
            </w:r>
          </w:p>
          <w:p>
            <w:pPr>
              <w:widowControl/>
              <w:spacing w:line="560" w:lineRule="atLeast"/>
              <w:jc w:val="left"/>
              <w:rPr>
                <w:rFonts w:hint="default" w:ascii="Times New Roman" w:hAnsi="Times New Roman" w:cs="Times New Roman"/>
                <w:color w:val="auto"/>
                <w:kern w:val="0"/>
                <w:sz w:val="28"/>
                <w:szCs w:val="28"/>
                <w:highlight w:val="none"/>
              </w:rPr>
            </w:pPr>
          </w:p>
          <w:p>
            <w:pPr>
              <w:widowControl/>
              <w:spacing w:line="560" w:lineRule="atLeast"/>
              <w:ind w:firstLine="840" w:firstLineChars="300"/>
              <w:jc w:val="left"/>
              <w:rPr>
                <w:rFonts w:hint="default" w:ascii="Times New Roman" w:hAnsi="Times New Roman" w:cs="Times New Roman"/>
                <w:color w:val="auto"/>
                <w:kern w:val="0"/>
                <w:sz w:val="28"/>
                <w:szCs w:val="28"/>
                <w:highlight w:val="none"/>
                <w:lang w:val="en-US" w:eastAsia="zh-CN"/>
              </w:rPr>
            </w:pPr>
            <w:r>
              <w:rPr>
                <w:rFonts w:hint="default" w:ascii="Times New Roman" w:hAnsi="Times New Roman" w:cs="Times New Roman"/>
                <w:color w:val="auto"/>
                <w:kern w:val="0"/>
                <w:sz w:val="28"/>
                <w:szCs w:val="28"/>
                <w:highlight w:val="none"/>
                <w:lang w:val="en-US" w:eastAsia="zh-CN"/>
              </w:rPr>
              <w:t>申请单位负责人签名（单位章）：</w:t>
            </w:r>
          </w:p>
          <w:p>
            <w:pPr>
              <w:widowControl/>
              <w:spacing w:line="560" w:lineRule="atLeast"/>
              <w:jc w:val="left"/>
              <w:rPr>
                <w:rFonts w:hint="default" w:ascii="Times New Roman" w:hAnsi="Times New Roman" w:cs="Times New Roman"/>
                <w:color w:val="auto"/>
                <w:kern w:val="0"/>
                <w:sz w:val="28"/>
                <w:szCs w:val="28"/>
                <w:highlight w:val="none"/>
                <w:lang w:val="en-US" w:eastAsia="zh-CN"/>
              </w:rPr>
            </w:pPr>
          </w:p>
          <w:p>
            <w:pPr>
              <w:widowControl/>
              <w:spacing w:line="560" w:lineRule="atLeast"/>
              <w:ind w:firstLine="4480" w:firstLineChars="1600"/>
              <w:jc w:val="left"/>
              <w:rPr>
                <w:rFonts w:hint="default" w:ascii="Times New Roman" w:hAnsi="Times New Roman" w:cs="Times New Roman"/>
                <w:color w:val="auto"/>
                <w:lang w:val="en-US" w:eastAsia="zh-CN"/>
              </w:rPr>
            </w:pPr>
            <w:r>
              <w:rPr>
                <w:rFonts w:hint="default" w:ascii="Times New Roman" w:hAnsi="Times New Roman" w:cs="Times New Roman"/>
                <w:color w:val="auto"/>
                <w:kern w:val="0"/>
                <w:sz w:val="28"/>
                <w:szCs w:val="28"/>
                <w:highlight w:val="none"/>
                <w:lang w:val="en-US" w:eastAsia="zh-CN"/>
              </w:rPr>
              <w:t>年  月  日</w:t>
            </w:r>
          </w:p>
        </w:tc>
      </w:tr>
      <w:tr>
        <w:tblPrEx>
          <w:tblLayout w:type="fixed"/>
          <w:tblCellMar>
            <w:top w:w="0" w:type="dxa"/>
            <w:left w:w="108" w:type="dxa"/>
            <w:bottom w:w="0" w:type="dxa"/>
            <w:right w:w="108" w:type="dxa"/>
          </w:tblCellMar>
        </w:tblPrEx>
        <w:trPr>
          <w:trHeight w:val="866" w:hRule="atLeast"/>
          <w:jc w:val="center"/>
        </w:trPr>
        <w:tc>
          <w:tcPr>
            <w:tcW w:w="9119"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560" w:lineRule="atLeast"/>
              <w:rPr>
                <w:rFonts w:hint="default" w:ascii="Times New Roman" w:hAnsi="Times New Roman" w:cs="Times New Roman"/>
                <w:b/>
                <w:bCs/>
                <w:color w:val="auto"/>
                <w:kern w:val="0"/>
                <w:sz w:val="28"/>
                <w:szCs w:val="28"/>
                <w:highlight w:val="none"/>
              </w:rPr>
            </w:pPr>
            <w:r>
              <w:rPr>
                <w:rFonts w:hint="default" w:ascii="Times New Roman" w:hAnsi="Times New Roman" w:cs="Times New Roman"/>
                <w:color w:val="auto"/>
                <w:kern w:val="0"/>
                <w:sz w:val="24"/>
                <w:highlight w:val="none"/>
              </w:rPr>
              <w:t>注：</w:t>
            </w:r>
            <w:r>
              <w:rPr>
                <w:rFonts w:hint="default" w:ascii="Times New Roman" w:hAnsi="Times New Roman" w:cs="Times New Roman"/>
                <w:color w:val="auto"/>
                <w:kern w:val="0"/>
                <w:sz w:val="24"/>
                <w:highlight w:val="none"/>
                <w:lang w:val="en-US" w:eastAsia="zh-CN"/>
              </w:rPr>
              <w:t>除项目编码由初评单位填写外，</w:t>
            </w:r>
            <w:r>
              <w:rPr>
                <w:rFonts w:hint="default" w:ascii="Times New Roman" w:hAnsi="Times New Roman" w:cs="Times New Roman"/>
                <w:color w:val="auto"/>
                <w:kern w:val="0"/>
                <w:sz w:val="24"/>
                <w:highlight w:val="none"/>
              </w:rPr>
              <w:t>表格</w:t>
            </w:r>
            <w:r>
              <w:rPr>
                <w:rFonts w:hint="default" w:ascii="Times New Roman" w:hAnsi="Times New Roman" w:cs="Times New Roman"/>
                <w:color w:val="auto"/>
                <w:kern w:val="0"/>
                <w:sz w:val="24"/>
                <w:highlight w:val="none"/>
                <w:lang w:val="en-US" w:eastAsia="zh-CN"/>
              </w:rPr>
              <w:t>内其他内容由申请单位填写。</w:t>
            </w:r>
          </w:p>
        </w:tc>
      </w:tr>
    </w:tbl>
    <w:p>
      <w:pPr>
        <w:keepNext w:val="0"/>
        <w:keepLines w:val="0"/>
        <w:pageBreakBefore w:val="0"/>
        <w:widowControl/>
        <w:kinsoku/>
        <w:wordWrap/>
        <w:overflowPunct/>
        <w:topLinePunct w:val="0"/>
        <w:autoSpaceDE/>
        <w:autoSpaceDN/>
        <w:bidi w:val="0"/>
        <w:adjustRightInd w:val="0"/>
        <w:snapToGrid w:val="0"/>
        <w:spacing w:line="560" w:lineRule="exact"/>
        <w:jc w:val="center"/>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一、大型活动总体方案</w:t>
      </w:r>
    </w:p>
    <w:p>
      <w:pPr>
        <w:spacing w:line="578" w:lineRule="exact"/>
        <w:jc w:val="center"/>
        <w:rPr>
          <w:rFonts w:hint="default" w:ascii="Times New Roman" w:hAnsi="Times New Roman" w:cs="Times New Roman"/>
          <w:b/>
          <w:color w:val="auto"/>
          <w:sz w:val="44"/>
          <w:szCs w:val="44"/>
        </w:r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（一）工作方案</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XXX活动拟于2021年X月X日至</w:t>
      </w:r>
      <w:r>
        <w:rPr>
          <w:rFonts w:hint="eastAsia" w:ascii="Times New Roman" w:hAnsi="Times New Roman" w:eastAsia="仿宋_GB2312" w:cs="Times New Roman"/>
          <w:color w:val="auto"/>
          <w:sz w:val="32"/>
          <w:szCs w:val="32"/>
          <w:lang w:val="en-US" w:eastAsia="zh-CN"/>
        </w:rPr>
        <w:t>X</w:t>
      </w:r>
      <w:r>
        <w:rPr>
          <w:rFonts w:hint="default" w:ascii="Times New Roman" w:hAnsi="Times New Roman" w:eastAsia="仿宋_GB2312" w:cs="Times New Roman"/>
          <w:color w:val="auto"/>
          <w:sz w:val="32"/>
          <w:szCs w:val="32"/>
          <w:lang w:val="en-US" w:eastAsia="zh-CN"/>
        </w:rPr>
        <w:t>日在三亚市XXX地点举行。特制定本活动总体工作方案。</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1.赛事目的</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2.赛事要素</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活动名称</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活动时间</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活动地点</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活动主题</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活动规模</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3.组织机构</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主办单位</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承办单位</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协办单位</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指导单位</w:t>
      </w:r>
    </w:p>
    <w:p>
      <w:pPr>
        <w:pStyle w:val="2"/>
        <w:keepNext w:val="0"/>
        <w:keepLines w:val="0"/>
        <w:pageBreakBefore w:val="0"/>
        <w:widowControl w:val="0"/>
        <w:kinsoku/>
        <w:wordWrap/>
        <w:overflowPunct/>
        <w:topLinePunct w:val="0"/>
        <w:autoSpaceDE/>
        <w:autoSpaceDN/>
        <w:bidi w:val="0"/>
        <w:adjustRightInd/>
        <w:snapToGrid/>
        <w:spacing w:after="100" w:afterAutospacing="1" w:line="32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支持单位</w:t>
      </w:r>
    </w:p>
    <w:p>
      <w:pPr>
        <w:pStyle w:val="2"/>
        <w:keepNext w:val="0"/>
        <w:keepLines w:val="0"/>
        <w:pageBreakBefore w:val="0"/>
        <w:widowControl w:val="0"/>
        <w:kinsoku/>
        <w:wordWrap/>
        <w:overflowPunct/>
        <w:topLinePunct w:val="0"/>
        <w:autoSpaceDE/>
        <w:autoSpaceDN/>
        <w:bidi w:val="0"/>
        <w:adjustRightInd/>
        <w:snapToGrid/>
        <w:spacing w:after="100" w:afterAutospacing="1" w:line="500" w:lineRule="exact"/>
        <w:ind w:firstLine="640" w:firstLineChars="200"/>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（注：组织机构根据实际情况填写。主办单位、承办单位为必写项。若政府及所属机构参与举办，未获得正式批文的，以（拟）作为备注，需在活动举办至少前30天提供正式批文）</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4.活动内容及日程安排</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00" w:afterAutospacing="1" w:line="320" w:lineRule="exact"/>
        <w:ind w:firstLine="640"/>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2"/>
          <w:sz w:val="32"/>
          <w:szCs w:val="32"/>
          <w:lang w:val="en-US" w:eastAsia="zh-CN" w:bidi="ar-SA"/>
        </w:rPr>
        <w:t>（注：按时间、分版块、主要活动流程）</w:t>
      </w: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（二）活动预算</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1.活动经费及筹措办法</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en-US" w:eastAsia="zh-CN"/>
        </w:rPr>
        <w:t>XXX活动</w:t>
      </w:r>
      <w:r>
        <w:rPr>
          <w:rFonts w:hint="default" w:ascii="Times New Roman" w:hAnsi="Times New Roman" w:eastAsia="仿宋_GB2312" w:cs="Times New Roman"/>
          <w:color w:val="auto"/>
          <w:sz w:val="32"/>
          <w:szCs w:val="32"/>
          <w:lang w:val="zh-CN" w:eastAsia="zh-CN"/>
        </w:rPr>
        <w:t>主要以自筹的方式筹措，自筹的方式主要包括：旅游酒店收益、赞助商赞助、特许产品销售等。</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2.活动预算列表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（注：项目预算支出，分别分类列出）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（三）预期效益</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zh-CN" w:eastAsia="zh-CN"/>
        </w:rPr>
      </w:pPr>
      <w:r>
        <w:rPr>
          <w:rFonts w:hint="default" w:ascii="Times New Roman" w:hAnsi="Times New Roman" w:eastAsia="楷体" w:cs="Times New Roman"/>
          <w:b/>
          <w:bCs/>
          <w:color w:val="auto"/>
          <w:sz w:val="32"/>
          <w:szCs w:val="32"/>
          <w:lang w:val="en-US" w:eastAsia="zh-CN"/>
        </w:rPr>
        <w:t>1.基本情况</w:t>
      </w:r>
      <w:r>
        <w:rPr>
          <w:rFonts w:hint="default" w:ascii="Times New Roman" w:hAnsi="Times New Roman" w:eastAsia="楷体" w:cs="Times New Roman"/>
          <w:b/>
          <w:bCs/>
          <w:color w:val="auto"/>
          <w:sz w:val="32"/>
          <w:szCs w:val="32"/>
          <w:lang w:val="zh-CN"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2.活动效益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zh-CN" w:eastAsia="zh-CN"/>
        </w:rPr>
        <w:t xml:space="preserve">）经济效益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zh-CN" w:eastAsia="zh-CN"/>
        </w:rPr>
        <w:t>）文化效益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zh-CN" w:eastAsia="zh-CN"/>
        </w:rPr>
        <w:t>）民生效益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default" w:ascii="Times New Roman" w:hAnsi="Times New Roman" w:eastAsia="楷体" w:cs="Times New Roman"/>
          <w:i w:val="0"/>
          <w:iCs w:val="0"/>
          <w:color w:val="auto"/>
          <w:sz w:val="32"/>
          <w:szCs w:val="32"/>
          <w:lang w:val="zh-CN"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zh-CN" w:eastAsia="zh-CN"/>
        </w:rPr>
        <w:t xml:space="preserve">）社会效益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eastAsia="zh-CN"/>
        </w:rPr>
      </w:pPr>
    </w:p>
    <w:p>
      <w:pPr>
        <w:pStyle w:val="2"/>
        <w:rPr>
          <w:rFonts w:hint="default" w:ascii="Times New Roman" w:hAnsi="Times New Roman" w:eastAsia="宋体" w:cs="Times New Roman"/>
          <w:color w:val="auto"/>
          <w:sz w:val="44"/>
          <w:szCs w:val="44"/>
          <w:lang w:val="en-US" w:eastAsia="zh-CN"/>
        </w:rPr>
      </w:pPr>
    </w:p>
    <w:p>
      <w:pPr>
        <w:rPr>
          <w:rFonts w:hint="default" w:ascii="Times New Roman" w:hAnsi="Times New Roman" w:eastAsia="宋体" w:cs="Times New Roman"/>
          <w:color w:val="auto"/>
          <w:sz w:val="44"/>
          <w:szCs w:val="44"/>
          <w:lang w:val="en-US" w:eastAsia="zh-CN"/>
        </w:rPr>
      </w:pPr>
    </w:p>
    <w:p>
      <w:pPr>
        <w:pStyle w:val="2"/>
        <w:rPr>
          <w:rFonts w:hint="default" w:ascii="Times New Roman" w:hAnsi="Times New Roman" w:eastAsia="宋体" w:cs="Times New Roman"/>
          <w:color w:val="auto"/>
          <w:sz w:val="44"/>
          <w:szCs w:val="44"/>
          <w:lang w:val="en-US" w:eastAsia="zh-CN"/>
        </w:rPr>
      </w:pPr>
    </w:p>
    <w:p>
      <w:pPr>
        <w:rPr>
          <w:rFonts w:hint="default" w:ascii="Times New Roman" w:hAnsi="Times New Roman" w:eastAsia="宋体" w:cs="Times New Roman"/>
          <w:color w:val="auto"/>
          <w:sz w:val="44"/>
          <w:szCs w:val="44"/>
          <w:lang w:val="en-US" w:eastAsia="zh-CN"/>
        </w:rPr>
      </w:pPr>
    </w:p>
    <w:p>
      <w:pPr>
        <w:pStyle w:val="2"/>
        <w:rPr>
          <w:rFonts w:hint="eastAsia" w:ascii="宋体" w:hAnsi="宋体" w:eastAsia="宋体" w:cs="宋体"/>
          <w:color w:val="auto"/>
          <w:sz w:val="44"/>
          <w:szCs w:val="44"/>
          <w:lang w:val="en-US" w:eastAsia="zh-CN"/>
        </w:rPr>
      </w:pPr>
    </w:p>
    <w:p>
      <w:pPr>
        <w:rPr>
          <w:rFonts w:hint="eastAsia" w:ascii="宋体" w:hAnsi="宋体" w:eastAsia="宋体" w:cs="宋体"/>
          <w:color w:val="auto"/>
          <w:sz w:val="44"/>
          <w:szCs w:val="44"/>
          <w:lang w:val="en-US" w:eastAsia="zh-CN"/>
        </w:rPr>
      </w:pPr>
    </w:p>
    <w:p>
      <w:pPr>
        <w:pStyle w:val="2"/>
        <w:rPr>
          <w:rFonts w:hint="eastAsia" w:ascii="宋体" w:hAnsi="宋体" w:eastAsia="宋体" w:cs="宋体"/>
          <w:color w:val="auto"/>
          <w:sz w:val="44"/>
          <w:szCs w:val="44"/>
          <w:lang w:val="en-US" w:eastAsia="zh-CN"/>
        </w:rPr>
      </w:pPr>
    </w:p>
    <w:p>
      <w:pPr>
        <w:rPr>
          <w:rFonts w:hint="eastAsia" w:ascii="宋体" w:hAnsi="宋体" w:eastAsia="宋体" w:cs="宋体"/>
          <w:color w:val="auto"/>
          <w:sz w:val="44"/>
          <w:szCs w:val="44"/>
          <w:lang w:val="en-US" w:eastAsia="zh-CN"/>
        </w:rPr>
      </w:pPr>
    </w:p>
    <w:p>
      <w:pPr>
        <w:pStyle w:val="2"/>
        <w:rPr>
          <w:rFonts w:hint="eastAsia" w:ascii="宋体" w:hAnsi="宋体" w:eastAsia="宋体" w:cs="宋体"/>
          <w:color w:val="auto"/>
          <w:sz w:val="44"/>
          <w:szCs w:val="44"/>
          <w:lang w:val="en-US" w:eastAsia="zh-CN"/>
        </w:rPr>
      </w:pPr>
    </w:p>
    <w:p>
      <w:pPr>
        <w:rPr>
          <w:rFonts w:hint="eastAsia" w:ascii="宋体" w:hAnsi="宋体" w:eastAsia="宋体" w:cs="宋体"/>
          <w:color w:val="auto"/>
          <w:sz w:val="44"/>
          <w:szCs w:val="44"/>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w:t>
      </w:r>
      <w:r>
        <w:rPr>
          <w:rFonts w:hint="eastAsia" w:ascii="Times New Roman" w:hAnsi="Times New Roman" w:eastAsia="黑体" w:cs="Times New Roman"/>
          <w:b w:val="0"/>
          <w:bCs w:val="0"/>
          <w:color w:val="auto"/>
          <w:sz w:val="32"/>
          <w:szCs w:val="32"/>
          <w:lang w:val="en-US" w:eastAsia="zh-CN"/>
        </w:rPr>
        <w:t>四</w:t>
      </w:r>
      <w:r>
        <w:rPr>
          <w:rFonts w:hint="default" w:ascii="Times New Roman" w:hAnsi="Times New Roman" w:eastAsia="黑体" w:cs="Times New Roman"/>
          <w:b w:val="0"/>
          <w:bCs w:val="0"/>
          <w:color w:val="auto"/>
          <w:sz w:val="32"/>
          <w:szCs w:val="32"/>
          <w:lang w:val="en-US" w:eastAsia="zh-CN"/>
        </w:rPr>
        <w:t>）宣传方案</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1.宣传目标</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zh-CN" w:eastAsia="zh-CN"/>
        </w:rPr>
      </w:pPr>
      <w:r>
        <w:rPr>
          <w:rFonts w:hint="default" w:ascii="Times New Roman" w:hAnsi="Times New Roman" w:eastAsia="楷体" w:cs="Times New Roman"/>
          <w:b/>
          <w:bCs/>
          <w:color w:val="auto"/>
          <w:sz w:val="32"/>
          <w:szCs w:val="32"/>
          <w:lang w:val="en-US" w:eastAsia="zh-CN"/>
        </w:rPr>
        <w:t xml:space="preserve">2.宣传重点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zh-CN" w:eastAsia="zh-CN" w:bidi="ar-SA"/>
        </w:rPr>
        <w:t>宣传渠道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zh-CN" w:eastAsia="zh-CN" w:bidi="ar-SA"/>
        </w:rPr>
        <w:t>宣传形式</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3.具体宣传安排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zh-CN" w:eastAsia="zh-CN" w:bidi="ar-SA"/>
        </w:rPr>
        <w:t>前期预热</w:t>
      </w:r>
      <w:r>
        <w:rPr>
          <w:rFonts w:hint="default" w:ascii="Times New Roman" w:hAnsi="Times New Roman" w:eastAsia="仿宋_GB2312" w:cs="Times New Roman"/>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zh-CN" w:eastAsia="zh-CN" w:bidi="ar-SA"/>
        </w:rPr>
        <w:t>中期报道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zh-CN" w:eastAsia="zh-CN" w:bidi="ar-SA"/>
        </w:rPr>
        <w:t>后期延续</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4.拟邀请媒体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zh-CN" w:eastAsia="zh-CN" w:bidi="ar-SA"/>
        </w:rPr>
      </w:pPr>
      <w:r>
        <w:rPr>
          <w:rFonts w:hint="default"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zh-CN" w:eastAsia="zh-CN" w:bidi="ar-SA"/>
        </w:rPr>
        <w:t>专题报道媒体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Hans" w:bidi="ar-SA"/>
        </w:rPr>
      </w:pPr>
      <w:r>
        <w:rPr>
          <w:rFonts w:hint="default" w:ascii="Times New Roman" w:hAnsi="Times New Roman" w:eastAsia="仿宋_GB2312" w:cs="Times New Roman"/>
          <w:color w:val="auto"/>
          <w:kern w:val="2"/>
          <w:sz w:val="32"/>
          <w:szCs w:val="32"/>
          <w:lang w:val="en-US" w:eastAsia="zh-CN" w:bidi="ar-SA"/>
        </w:rPr>
        <w:t>（2）新</w:t>
      </w:r>
      <w:r>
        <w:rPr>
          <w:rFonts w:hint="default" w:ascii="Times New Roman" w:hAnsi="Times New Roman" w:eastAsia="仿宋_GB2312" w:cs="Times New Roman"/>
          <w:color w:val="auto"/>
          <w:kern w:val="2"/>
          <w:sz w:val="32"/>
          <w:szCs w:val="32"/>
          <w:lang w:val="zh-CN" w:eastAsia="zh-CN" w:bidi="ar-SA"/>
        </w:rPr>
        <w:t>媒体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（3）传统媒体</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5.意识形态风险防控</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Hans" w:bidi="ar-SA"/>
        </w:rPr>
      </w:pPr>
      <w:r>
        <w:rPr>
          <w:rFonts w:hint="default" w:ascii="Times New Roman" w:hAnsi="Times New Roman" w:eastAsia="仿宋_GB2312" w:cs="Times New Roman"/>
          <w:color w:val="auto"/>
          <w:kern w:val="2"/>
          <w:sz w:val="32"/>
          <w:szCs w:val="32"/>
          <w:lang w:val="en-US" w:eastAsia="zh-CN" w:bidi="ar-SA"/>
        </w:rPr>
        <w:t>宣传内容与形式以马克思主义理论为指导，坚定中国特色社会主义制度，拥护中国共产党领导，弘扬并符合社会主义核心价值观，不宣传邪教迷信内容，严肃防控意识形态风险。</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仿宋_GB2312" w:cs="Times New Roman"/>
          <w:color w:val="auto"/>
          <w:sz w:val="32"/>
          <w:szCs w:val="32"/>
          <w:lang w:val="zh-CN" w:eastAsia="zh-CN"/>
        </w:rPr>
        <w:br w:type="textWrapping"/>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0" w:firstLineChars="0"/>
        <w:jc w:val="center"/>
        <w:textAlignment w:val="auto"/>
        <w:outlineLvl w:val="9"/>
        <w:rPr>
          <w:rFonts w:hint="default" w:ascii="Times New Roman" w:hAnsi="Times New Roman" w:eastAsia="宋体" w:cs="Times New Roman"/>
          <w:color w:val="auto"/>
          <w:sz w:val="44"/>
          <w:szCs w:val="44"/>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w:t>
      </w:r>
      <w:r>
        <w:rPr>
          <w:rFonts w:hint="eastAsia" w:ascii="Times New Roman" w:hAnsi="Times New Roman" w:eastAsia="黑体" w:cs="Times New Roman"/>
          <w:b w:val="0"/>
          <w:bCs w:val="0"/>
          <w:color w:val="auto"/>
          <w:sz w:val="32"/>
          <w:szCs w:val="32"/>
          <w:lang w:val="en-US" w:eastAsia="zh-CN"/>
        </w:rPr>
        <w:t>五</w:t>
      </w:r>
      <w:r>
        <w:rPr>
          <w:rFonts w:hint="default" w:ascii="Times New Roman" w:hAnsi="Times New Roman" w:eastAsia="黑体" w:cs="Times New Roman"/>
          <w:b w:val="0"/>
          <w:bCs w:val="0"/>
          <w:color w:val="auto"/>
          <w:sz w:val="32"/>
          <w:szCs w:val="32"/>
          <w:lang w:val="en-US" w:eastAsia="zh-CN"/>
        </w:rPr>
        <w:t>）疫情防护及医疗救助预案</w:t>
      </w:r>
      <w:r>
        <w:rPr>
          <w:rFonts w:hint="default" w:ascii="Times New Roman" w:hAnsi="Times New Roman" w:eastAsia="黑体" w:cs="Times New Roman"/>
          <w:b w:val="0"/>
          <w:bCs w:val="0"/>
          <w:color w:val="auto"/>
          <w:sz w:val="32"/>
          <w:szCs w:val="32"/>
          <w:lang w:val="en-US" w:eastAsia="zh-CN"/>
        </w:rPr>
        <w:tab/>
      </w:r>
    </w:p>
    <w:p>
      <w:pPr>
        <w:keepNext w:val="0"/>
        <w:keepLines w:val="0"/>
        <w:pageBreakBefore w:val="0"/>
        <w:widowControl w:val="0"/>
        <w:kinsoku/>
        <w:wordWrap/>
        <w:overflowPunct/>
        <w:topLinePunct w:val="0"/>
        <w:bidi w:val="0"/>
        <w:adjustRightInd/>
        <w:snapToGrid/>
        <w:spacing w:before="0" w:after="0" w:line="576" w:lineRule="exact"/>
        <w:ind w:left="0" w:leftChars="0" w:right="0" w:firstLine="640" w:firstLineChars="200"/>
        <w:textAlignment w:val="auto"/>
        <w:outlineLvl w:val="9"/>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lang w:val="en-US" w:eastAsia="zh-CN"/>
        </w:rPr>
        <w:t>受新型冠状病毒肺炎疫情影响，为保障赛事活动顺利实施，切实做好赛事活动疫情防控工作，严格按照国务院联防联控机制印发的《关于科学防治精准施策分区分级做好新冠肺炎疫情防控工作的指导意见》，和“一赛事、一方案”“谁主办、谁负责”的要求，坚持常态化精准防控和局部应急处置有机结合的原则。特制定XXX活动疫情防控方案和应急措施。</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1.活动介绍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“XXX活动”由XXX主办，XXX承办。活动将于</w:t>
      </w:r>
      <w:r>
        <w:rPr>
          <w:rFonts w:hint="eastAsia" w:ascii="Times New Roman" w:hAnsi="Times New Roman" w:eastAsia="仿宋_GB2312" w:cs="Times New Roman"/>
          <w:color w:val="auto"/>
          <w:sz w:val="32"/>
          <w:szCs w:val="32"/>
          <w:lang w:val="en-US" w:eastAsia="zh-CN"/>
        </w:rPr>
        <w:t>X</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X</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X</w:t>
      </w:r>
      <w:r>
        <w:rPr>
          <w:rFonts w:hint="default" w:ascii="Times New Roman" w:hAnsi="Times New Roman" w:eastAsia="仿宋_GB2312" w:cs="Times New Roman"/>
          <w:color w:val="auto"/>
          <w:sz w:val="32"/>
          <w:szCs w:val="32"/>
          <w:lang w:val="en-US" w:eastAsia="zh-CN"/>
        </w:rPr>
        <w:t>日在三亚XXX地点举行。赛事安排在X个场地内，最大面积场地参加活动人数不超过XXX人，同时在X个场地的总参赛人数不超过XXX人。</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2.医疗救助、疫情防控工作小组</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3.具体措施</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（1）医疗救助方案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（2）疫情防控方案</w:t>
      </w:r>
    </w:p>
    <w:p>
      <w:pPr>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rPr>
        <w:br w:type="page"/>
      </w:r>
      <w:r>
        <w:rPr>
          <w:rFonts w:hint="default" w:ascii="Times New Roman" w:hAnsi="Times New Roman" w:eastAsia="黑体" w:cs="Times New Roman"/>
          <w:b w:val="0"/>
          <w:bCs w:val="0"/>
          <w:color w:val="auto"/>
          <w:sz w:val="32"/>
          <w:szCs w:val="32"/>
          <w:lang w:val="en-US" w:eastAsia="zh-CN"/>
        </w:rPr>
        <w:t>（</w:t>
      </w:r>
      <w:r>
        <w:rPr>
          <w:rFonts w:hint="eastAsia" w:ascii="Times New Roman" w:hAnsi="Times New Roman" w:eastAsia="黑体" w:cs="Times New Roman"/>
          <w:b w:val="0"/>
          <w:bCs w:val="0"/>
          <w:color w:val="auto"/>
          <w:sz w:val="32"/>
          <w:szCs w:val="32"/>
          <w:lang w:val="en-US" w:eastAsia="zh-CN"/>
        </w:rPr>
        <w:t>六</w:t>
      </w:r>
      <w:r>
        <w:rPr>
          <w:rFonts w:hint="default" w:ascii="Times New Roman" w:hAnsi="Times New Roman" w:eastAsia="黑体" w:cs="Times New Roman"/>
          <w:b w:val="0"/>
          <w:bCs w:val="0"/>
          <w:color w:val="auto"/>
          <w:sz w:val="32"/>
          <w:szCs w:val="32"/>
          <w:lang w:val="en-US" w:eastAsia="zh-CN"/>
        </w:rPr>
        <w:t>）突发事件应急预案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提高应对突发公共事件和抵御风险的能力，及时、高效处置大型活动中可能出现的突发公共事件，形成统一指挥、结构完整、功能齐全、反应灵敏、运转高效、科学合理的应急管理长效机制，最大限度地防止和减少突发公共事件及其造成的危害。根据《国务院关于特大安全事故行政责任追究的规定》《国家体育总局大型体育赛事及群众体育活动突发公共事件应急预案》《三亚市突发事件应急预案管理办法》等有关文件要求，特制定本预案。</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1.目的</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提高应对突发公共事件和抵御风险的能力，及时、高效处置大型体育赛事中可能出现的突发公共事件，促进体育事业健康和谐快速发展；形成统一指挥、结构完整、功能齐全、反应灵敏、运转高效、科学合理的应急管理长效机制，最大限度地防止和减少突发公共事件及其造成的危害。</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2.适应范围</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3.责任部门</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4.实施细则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（1）应急指挥部及职责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应急指挥部：</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工作职责：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（2）各专业工作小组及职责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领导小组和下设专业小组要根据“统一领导，各负其责、有机配合、服从安排”的工作原则，层层落实工作任务和启动程序，明确各组和各类人员的工作职责，责任到人，协调配合。领导小组要安排合适的时机对预案组织学习和演练。要落实值班制度，明确值班领导和值班人员。相关人员保证24小时通讯畅通。</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领导小组成员及职责：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宣传联络组成员及职责：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事故处置组成员及职责：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疏散引导组成员及职责：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安全救护组成员及职责：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后勤保障组成员及职责：</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（3）事故处置措施</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报警与接警</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组织疏散引导</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现场处置</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后勤保障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（4）事故预防和责任追究</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事故预防</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责任追究</w:t>
      </w: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rPr>
      </w:pPr>
    </w:p>
    <w:p>
      <w:pPr>
        <w:keepNext w:val="0"/>
        <w:keepLines w:val="0"/>
        <w:pageBreakBefore w:val="0"/>
        <w:widowControl w:val="0"/>
        <w:kinsoku/>
        <w:wordWrap/>
        <w:overflowPunct/>
        <w:topLinePunct w:val="0"/>
        <w:autoSpaceDE/>
        <w:autoSpaceDN/>
        <w:bidi w:val="0"/>
        <w:adjustRightInd/>
        <w:snapToGrid/>
        <w:spacing w:beforeLines="0" w:after="100" w:afterLines="0" w:afterAutospacing="1" w:line="3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（七）</w:t>
      </w:r>
      <w:r>
        <w:rPr>
          <w:rFonts w:hint="default" w:ascii="Times New Roman" w:hAnsi="Times New Roman" w:eastAsia="黑体" w:cs="Times New Roman"/>
          <w:b w:val="0"/>
          <w:bCs w:val="0"/>
          <w:color w:val="auto"/>
          <w:sz w:val="32"/>
          <w:szCs w:val="32"/>
          <w:lang w:val="en-US" w:eastAsia="zh-CN"/>
        </w:rPr>
        <w:t>安全保障方案</w:t>
      </w:r>
    </w:p>
    <w:p>
      <w:pPr>
        <w:pStyle w:val="2"/>
        <w:numPr>
          <w:ilvl w:val="0"/>
          <w:numId w:val="0"/>
        </w:numPr>
        <w:ind w:firstLine="640" w:firstLineChars="200"/>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（注：方案</w:t>
      </w:r>
      <w:r>
        <w:rPr>
          <w:rFonts w:hint="default" w:ascii="Times New Roman" w:hAnsi="Times New Roman" w:cs="Times New Roman"/>
          <w:color w:val="auto"/>
          <w:szCs w:val="22"/>
          <w:lang w:val="en-US" w:eastAsia="zh-CN"/>
        </w:rPr>
        <w:t>从活动安保环节安全生产、内部保卫、交通保障三个方面出发，应当分为活动前，活动中，活动后三个方面。主要内容包括但不限于：活动场地的布置应当设置安全出口、防冲撞、控人流设施和安检重要部位，提前3日提请公安机关验收；成立安保指挥部，由承办单位主要负责人负责与公安机关对接；建立熔断机制和预案，一经发现重大安全隐患，应当由承办单位立即叫停，经公安机关或其他安全部门排除隐患后，同意继续活动后方可重新举办等方面。</w:t>
      </w:r>
      <w:r>
        <w:rPr>
          <w:rFonts w:hint="default" w:ascii="Times New Roman" w:hAnsi="Times New Roman" w:eastAsia="仿宋_GB2312" w:cs="Times New Roman"/>
          <w:color w:val="auto"/>
          <w:sz w:val="32"/>
          <w:szCs w:val="22"/>
          <w:u w:val="none"/>
          <w:lang w:val="en-US" w:eastAsia="zh-CN"/>
        </w:rPr>
        <w:t>）</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1.保障部门</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2.保障时间</w:t>
      </w:r>
    </w:p>
    <w:p>
      <w:pPr>
        <w:pStyle w:val="2"/>
        <w:numPr>
          <w:ilvl w:val="0"/>
          <w:numId w:val="0"/>
        </w:numPr>
        <w:ind w:firstLine="640" w:firstLineChars="200"/>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color w:val="auto"/>
          <w:sz w:val="32"/>
          <w:szCs w:val="32"/>
          <w:u w:val="none"/>
          <w:lang w:val="en-US" w:eastAsia="zh-CN"/>
        </w:rPr>
        <w:t>2021年X月X日- X日</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3.保障地点：</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4.保障内容：</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（1）活动时间、地点、内容、规模、规格以及组织方式等；</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（2）活动场所地理环境、建筑结构和面积（附图纸）、可容</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纳的人员数量以及活动预计参加人数等；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（3）安全工作人员的情况、数量、任务分配、岗位职责和识</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别标志；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（4）活动场所建筑物、临时搭建设施的基本情况，设计、施工单位资质证书以及安全状况等；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（5）活动场所消防安全措施；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（6）治安缓冲区域、应急疏散通道、应急广播、应急照明、</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医疗救护、无障碍通道等设施、设备设置情况和标识；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（7）交通组织管理措施及交通组织示意图，包括预计参加活</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动的车辆数量，停车场地及临时停车区域的设置、位置、容量、标识、引导提示牌、通道示意图以及停放、管理，周边道路交通分流、引导和管控措施等；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（8）现场秩序维护、人员疏导措施；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（9）预计参加活动现场采访的新闻媒体记者的单位、数量、</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采访区域等基本情况以及引导措施等；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（10）应对突发灾害性天气的措施；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（11）可能影响现场秩序、威胁公共安全的各类突发事件紧</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急疏散、抢险自救、应急保障等应急救援预案；</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（12）安全风险评估报告情况。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baseline"/>
        <w:rPr>
          <w:rFonts w:hint="default" w:ascii="Times New Roman" w:hAnsi="Times New Roman" w:eastAsia="仿宋_GB2312" w:cs="Times New Roman"/>
          <w:color w:val="auto"/>
          <w:sz w:val="32"/>
          <w:szCs w:val="22"/>
          <w:u w:val="none"/>
          <w:lang w:val="en-US" w:eastAsia="zh-CN"/>
        </w:rPr>
      </w:pPr>
      <w:r>
        <w:rPr>
          <w:rFonts w:hint="default" w:ascii="Times New Roman" w:hAnsi="Times New Roman" w:eastAsia="仿宋_GB2312" w:cs="Times New Roman"/>
          <w:color w:val="auto"/>
          <w:sz w:val="32"/>
          <w:szCs w:val="22"/>
          <w:u w:val="none"/>
          <w:lang w:val="en-US" w:eastAsia="zh-CN"/>
        </w:rPr>
        <w:t xml:space="preserve"> 大型活动使用票证的，安全保障方案还应当包括票证样本、管理方案及查验票证的措施；大型活动采取安检措施的，安全工作方案还应当包括按照相应安全风险等级制定的安检方案。</w:t>
      </w:r>
    </w:p>
    <w:p>
      <w:pPr>
        <w:keepNext w:val="0"/>
        <w:keepLines w:val="0"/>
        <w:pageBreakBefore w:val="0"/>
        <w:widowControl/>
        <w:kinsoku/>
        <w:wordWrap/>
        <w:overflowPunct/>
        <w:topLinePunct w:val="0"/>
        <w:autoSpaceDE/>
        <w:autoSpaceDN/>
        <w:bidi w:val="0"/>
        <w:adjustRightInd/>
        <w:snapToGrid/>
        <w:spacing w:beforeLines="0" w:afterLines="0" w:line="579" w:lineRule="exact"/>
        <w:ind w:left="0" w:leftChars="0" w:right="0" w:rightChars="0" w:firstLine="0" w:firstLineChars="0"/>
        <w:jc w:val="center"/>
        <w:textAlignment w:val="auto"/>
        <w:outlineLvl w:val="9"/>
        <w:rPr>
          <w:rFonts w:hint="default" w:ascii="Times New Roman" w:hAnsi="Times New Roman" w:eastAsia="仿宋" w:cs="Times New Roman"/>
          <w:color w:val="auto"/>
          <w:sz w:val="32"/>
          <w:szCs w:val="32"/>
          <w:u w:val="none"/>
        </w:rPr>
      </w:pPr>
    </w:p>
    <w:p>
      <w:pPr>
        <w:pStyle w:val="2"/>
        <w:rPr>
          <w:rFonts w:hint="default" w:ascii="Times New Roman" w:hAnsi="Times New Roman" w:eastAsia="仿宋" w:cs="Times New Roman"/>
          <w:color w:val="auto"/>
          <w:sz w:val="32"/>
          <w:szCs w:val="32"/>
          <w:u w:val="none"/>
        </w:rPr>
      </w:pPr>
    </w:p>
    <w:p>
      <w:pPr>
        <w:rPr>
          <w:rFonts w:hint="default" w:ascii="Times New Roman" w:hAnsi="Times New Roman" w:eastAsia="仿宋" w:cs="Times New Roman"/>
          <w:color w:val="auto"/>
          <w:sz w:val="32"/>
          <w:szCs w:val="32"/>
          <w:u w:val="none"/>
        </w:rPr>
      </w:pPr>
    </w:p>
    <w:p>
      <w:pPr>
        <w:pStyle w:val="2"/>
        <w:rPr>
          <w:rFonts w:hint="default" w:ascii="Times New Roman" w:hAnsi="Times New Roman" w:eastAsia="仿宋" w:cs="Times New Roman"/>
          <w:color w:val="auto"/>
          <w:sz w:val="32"/>
          <w:szCs w:val="32"/>
          <w:u w:val="none"/>
        </w:rPr>
      </w:pPr>
    </w:p>
    <w:p>
      <w:pPr>
        <w:rPr>
          <w:rFonts w:hint="default" w:ascii="Times New Roman" w:hAnsi="Times New Roman" w:eastAsia="仿宋" w:cs="Times New Roman"/>
          <w:color w:val="auto"/>
          <w:sz w:val="32"/>
          <w:szCs w:val="32"/>
          <w:u w:val="none"/>
        </w:rPr>
      </w:pPr>
    </w:p>
    <w:p>
      <w:pPr>
        <w:pStyle w:val="2"/>
        <w:rPr>
          <w:rFonts w:hint="default" w:ascii="Times New Roman" w:hAnsi="Times New Roman" w:eastAsia="仿宋" w:cs="Times New Roman"/>
          <w:color w:val="auto"/>
          <w:sz w:val="32"/>
          <w:szCs w:val="32"/>
          <w:u w:val="none"/>
        </w:rPr>
      </w:pPr>
    </w:p>
    <w:p>
      <w:pPr>
        <w:pStyle w:val="2"/>
        <w:rPr>
          <w:rFonts w:hint="default" w:ascii="Times New Roman" w:hAnsi="Times New Roman" w:eastAsia="仿宋" w:cs="Times New Roman"/>
          <w:color w:val="auto"/>
          <w:sz w:val="32"/>
          <w:szCs w:val="32"/>
          <w:u w:val="none"/>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default" w:ascii="Times New Roman" w:hAnsi="Times New Roman" w:eastAsia="微软简标宋" w:cs="Times New Roman"/>
          <w:color w:val="auto"/>
          <w:sz w:val="44"/>
          <w:szCs w:val="44"/>
          <w:lang w:val="en-US" w:eastAsia="zh-CN"/>
        </w:rPr>
      </w:pPr>
      <w:r>
        <w:rPr>
          <w:rFonts w:hint="default" w:ascii="Times New Roman" w:hAnsi="Times New Roman" w:eastAsia="微软简标宋" w:cs="Times New Roman"/>
          <w:color w:val="auto"/>
          <w:sz w:val="44"/>
          <w:szCs w:val="44"/>
          <w:lang w:val="en-US" w:eastAsia="zh-CN"/>
        </w:rPr>
        <w:t>二、活动安全生产承诺书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为进一步落实安全生产主体责任，防止和减少生产安全事故发生，确保</w:t>
      </w:r>
      <w:r>
        <w:rPr>
          <w:rFonts w:hint="default" w:ascii="Times New Roman" w:hAnsi="Times New Roman" w:eastAsia="仿宋_GB2312" w:cs="Times New Roman"/>
          <w:color w:val="auto"/>
          <w:sz w:val="32"/>
          <w:szCs w:val="32"/>
          <w:lang w:val="en-US" w:eastAsia="zh-CN"/>
        </w:rPr>
        <w:t>XXX</w:t>
      </w:r>
      <w:r>
        <w:rPr>
          <w:rFonts w:hint="default" w:ascii="Times New Roman" w:hAnsi="Times New Roman" w:eastAsia="仿宋_GB2312" w:cs="Times New Roman"/>
          <w:b w:val="0"/>
          <w:bCs w:val="0"/>
          <w:color w:val="auto"/>
          <w:sz w:val="32"/>
          <w:szCs w:val="32"/>
          <w:lang w:val="en-US" w:eastAsia="zh-CN"/>
        </w:rPr>
        <w:t>活动平稳有序地开展，本单位郑重承诺如下：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一、认真执行“安全第一、预防为主、综合治理、全员参与”的安全生产方针，遵守各项安全生产制度和规定，保障现场人员的生命财产安全，促进活动的顺利开展。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二、落实各级部门、负责人的安全生产职责，严格履行本岗位的安全生产责任，通过“一岗一责制”形成畅通的安全生产职责网络。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三、建立健全各项规章制度，强化员工安全教育，提高员工安全生产意识，严格按照管理规定进行用电、施工、高空作业等。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四、全面统筹相关资源，保障活动期间的人力、物力、财力资源储备，科学管理、充分调动各项资源，以确保各岗位间工作的持续运转，和活动环节间的流畅衔接。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五、建立健全监督机制，动员全体员工参与到安全生产的检查和监督工作中，及时排查、整改相关问题，督促负责人消除事故隐患，坚决反对违章指挥、违章作业和违反劳动纪律的行为。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六、针对高发型事故制定应急救援预案，定期组织演练，及时查漏补缺，不断完善应急预案。在事故发生时果断处置，防止事态扩大和蔓延，并按程序及时上报，全力协助对事故的调查处理。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七、单位全体员工自觉接受上级领导和安全职能人员的安全检查与监督，确保活动期间不发生各类生产安全事故。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本单位将严格遵守国家安全生产各项法律、法规，认真做好本次活动的各环节安全生产工作，确保不发生各类生产安全事故，确保嘉宾和市民游客的人身安全。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w:t>
      </w:r>
    </w:p>
    <w:p>
      <w:pPr>
        <w:spacing w:line="460" w:lineRule="exact"/>
        <w:rPr>
          <w:rFonts w:hint="default" w:ascii="Times New Roman" w:hAnsi="Times New Roman" w:eastAsia="宋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承诺单位：（盖章）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活动主要负责人：     </w:t>
      </w:r>
      <w:r>
        <w:rPr>
          <w:rFonts w:hint="default" w:ascii="Times New Roman" w:hAnsi="Times New Roman" w:eastAsia="仿宋_GB2312" w:cs="Times New Roman"/>
          <w:b w:val="0"/>
          <w:bCs w:val="0"/>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20" w:firstLineChars="11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时间：</w:t>
      </w: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bookmarkStart w:id="0" w:name="_GoBack"/>
      <w:bookmarkEnd w:id="0"/>
      <w:r>
        <w:rPr>
          <w:rFonts w:hint="eastAsia" w:ascii="微软简标宋" w:hAnsi="微软简标宋" w:eastAsia="微软简标宋" w:cs="微软简标宋"/>
          <w:color w:val="auto"/>
          <w:sz w:val="44"/>
          <w:szCs w:val="44"/>
          <w:lang w:val="en-US" w:eastAsia="zh-CN"/>
        </w:rPr>
        <w:t>三、历史相关材料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（包括活动历史成功案例、举办效果、举办方历史经验等）</w:t>
      </w:r>
    </w:p>
    <w:p>
      <w:pPr>
        <w:pStyle w:val="2"/>
        <w:rPr>
          <w:rFonts w:hint="eastAsia" w:ascii="仿宋" w:hAnsi="仿宋" w:eastAsia="仿宋" w:cs="仿宋"/>
          <w:color w:val="auto"/>
          <w:sz w:val="32"/>
          <w:szCs w:val="32"/>
          <w:lang w:eastAsia="zh-CN"/>
        </w:rPr>
      </w:pPr>
    </w:p>
    <w:p>
      <w:pPr>
        <w:rPr>
          <w:rFonts w:hint="eastAsia"/>
          <w:color w:val="auto"/>
          <w:lang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四、授权证明材料</w:t>
      </w:r>
    </w:p>
    <w:p>
      <w:pPr>
        <w:pStyle w:val="2"/>
        <w:jc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（通过授权获得举办权的活动，需提供授权证明材料）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方正小标宋简体" w:cs="Times New Roman"/>
          <w:color w:val="auto"/>
          <w:sz w:val="44"/>
          <w:szCs w:val="44"/>
          <w:lang w:eastAsia="zh-CN"/>
        </w:rPr>
      </w:pPr>
    </w:p>
    <w:p>
      <w:pPr>
        <w:rPr>
          <w:color w:val="auto"/>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五、主办方法定代表人、主要负责人身份证件或登记、注册的证明材料及复印件（加盖公章）</w:t>
      </w:r>
    </w:p>
    <w:p>
      <w:pPr>
        <w:pStyle w:val="2"/>
        <w:jc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（以下为电子扫描件）</w:t>
      </w:r>
    </w:p>
    <w:p>
      <w:pPr>
        <w:pStyle w:val="2"/>
        <w:rPr>
          <w:rFonts w:hint="eastAsia" w:ascii="仿宋_GB2312" w:hAnsi="仿宋_GB2312" w:eastAsia="仿宋_GB2312" w:cs="仿宋_GB2312"/>
          <w:b w:val="0"/>
          <w:bCs w:val="0"/>
          <w:color w:val="auto"/>
          <w:kern w:val="2"/>
          <w:sz w:val="32"/>
          <w:szCs w:val="32"/>
          <w:lang w:val="en-US" w:eastAsia="zh-CN" w:bidi="ar-SA"/>
        </w:rPr>
      </w:pPr>
    </w:p>
    <w:p>
      <w:pPr>
        <w:pStyle w:val="2"/>
        <w:rPr>
          <w:rFonts w:hint="eastAsia"/>
          <w:color w:val="auto"/>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微软简标宋" w:hAnsi="微软简标宋" w:eastAsia="微软简标宋" w:cs="微软简标宋"/>
          <w:color w:val="auto"/>
          <w:sz w:val="44"/>
          <w:szCs w:val="44"/>
          <w:lang w:val="en-US" w:eastAsia="zh-CN"/>
        </w:rPr>
      </w:pPr>
      <w:r>
        <w:rPr>
          <w:rFonts w:hint="eastAsia" w:ascii="微软简标宋" w:hAnsi="微软简标宋" w:eastAsia="微软简标宋" w:cs="微软简标宋"/>
          <w:color w:val="auto"/>
          <w:sz w:val="44"/>
          <w:szCs w:val="44"/>
          <w:lang w:val="en-US" w:eastAsia="zh-CN"/>
        </w:rPr>
        <w:t>六、近一年纳税凭证和社会保障金缴费凭证</w:t>
      </w:r>
    </w:p>
    <w:p>
      <w:pPr>
        <w:pStyle w:val="2"/>
        <w:jc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（以下为电子扫描件）</w:t>
      </w:r>
    </w:p>
    <w:p>
      <w:pPr>
        <w:pStyle w:val="2"/>
        <w:rPr>
          <w:rFonts w:hint="eastAsia" w:ascii="仿宋_GB2312" w:hAnsi="仿宋_GB2312" w:eastAsia="仿宋_GB2312" w:cs="仿宋_GB2312"/>
          <w:color w:val="auto"/>
          <w:sz w:val="32"/>
          <w:szCs w:val="32"/>
          <w:lang w:val="en-US" w:eastAsia="zh-CN"/>
        </w:rPr>
      </w:pPr>
    </w:p>
    <w:p>
      <w:pPr>
        <w:rPr>
          <w:rFonts w:hint="eastAsia"/>
          <w:color w:val="auto"/>
          <w:lang w:val="en-US" w:eastAsia="zh-CN"/>
        </w:rPr>
      </w:pPr>
    </w:p>
    <w:p>
      <w:pPr>
        <w:pStyle w:val="2"/>
        <w:jc w:val="center"/>
        <w:rPr>
          <w:rFonts w:hint="eastAsia" w:ascii="微软简标宋" w:hAnsi="微软简标宋" w:eastAsia="微软简标宋" w:cs="微软简标宋"/>
          <w:color w:val="auto"/>
          <w:kern w:val="2"/>
          <w:sz w:val="44"/>
          <w:szCs w:val="44"/>
          <w:lang w:val="en-US" w:eastAsia="zh-CN" w:bidi="ar-SA"/>
        </w:rPr>
      </w:pPr>
      <w:r>
        <w:rPr>
          <w:rFonts w:hint="eastAsia" w:ascii="微软简标宋" w:hAnsi="微软简标宋" w:eastAsia="微软简标宋" w:cs="微软简标宋"/>
          <w:color w:val="auto"/>
          <w:kern w:val="2"/>
          <w:sz w:val="44"/>
          <w:szCs w:val="44"/>
          <w:lang w:val="en-US" w:eastAsia="zh-CN" w:bidi="ar-SA"/>
        </w:rPr>
        <w:t>七、近三年无失信、违法违规行为证明</w:t>
      </w:r>
    </w:p>
    <w:p>
      <w:pPr>
        <w:pStyle w:val="2"/>
        <w:jc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（以下为电子扫描件）</w:t>
      </w:r>
    </w:p>
    <w:p>
      <w:pPr>
        <w:widowControl/>
        <w:spacing w:beforeLines="0" w:beforeAutospacing="0" w:afterLines="0" w:afterAutospacing="0" w:line="579" w:lineRule="exact"/>
        <w:ind w:right="0" w:rightChars="0"/>
        <w:jc w:val="center"/>
        <w:outlineLvl w:val="9"/>
        <w:rPr>
          <w:rFonts w:hint="eastAsia" w:ascii="宋体" w:hAnsi="宋体" w:cs="宋体"/>
          <w:color w:val="auto"/>
          <w:sz w:val="44"/>
          <w:szCs w:val="44"/>
          <w:lang w:val="en-US" w:eastAsia="zh-CN"/>
        </w:rPr>
      </w:pPr>
    </w:p>
    <w:p>
      <w:pPr>
        <w:jc w:val="center"/>
        <w:rPr>
          <w:rFonts w:hint="eastAsia" w:ascii="微软简标宋" w:hAnsi="微软简标宋" w:eastAsia="微软简标宋" w:cs="微软简标宋"/>
          <w:color w:val="auto"/>
          <w:sz w:val="44"/>
          <w:szCs w:val="44"/>
          <w:lang w:val="en-US" w:eastAsia="zh-CN"/>
        </w:rPr>
      </w:pPr>
      <w:r>
        <w:rPr>
          <w:rFonts w:hint="eastAsia" w:ascii="Times New Roman" w:eastAsia="宋体"/>
          <w:color w:val="auto"/>
          <w:lang w:val="en-US" w:eastAsia="zh-CN"/>
        </w:rPr>
        <w:br w:type="page"/>
      </w:r>
      <w:r>
        <w:rPr>
          <w:rFonts w:hint="eastAsia" w:ascii="微软简标宋" w:hAnsi="微软简标宋" w:eastAsia="微软简标宋" w:cs="微软简标宋"/>
          <w:color w:val="auto"/>
          <w:sz w:val="44"/>
          <w:szCs w:val="44"/>
          <w:lang w:val="en-US" w:eastAsia="zh-CN"/>
        </w:rPr>
        <w:t>八、信用承诺书</w:t>
      </w:r>
    </w:p>
    <w:p>
      <w:pPr>
        <w:pStyle w:val="2"/>
        <w:keepNext w:val="0"/>
        <w:keepLines w:val="0"/>
        <w:pageBreakBefore w:val="0"/>
        <w:widowControl w:val="0"/>
        <w:kinsoku/>
        <w:wordWrap/>
        <w:overflowPunct/>
        <w:topLinePunct w:val="0"/>
        <w:autoSpaceDE/>
        <w:autoSpaceDN/>
        <w:bidi w:val="0"/>
        <w:adjustRightInd/>
        <w:snapToGrid/>
        <w:spacing w:line="540" w:lineRule="exact"/>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为确保XXX活动平稳有序地开展，本单位郑重承诺如下：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一</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 承诺所有资料或信息均合法、真实、准确和有效，并对所提供的资料真实性负责。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（二）承诺严格按照国家法律、法规和规章，按照要求规范管理，强化自律，诚实守信，不造假，不违约毁约，履行应尽的责任和义务；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（三）承诺严格按照竞赛规程举办比赛，赛前组织各岗位人员参加赛前培训，保证赛事公平、公正。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（四）承诺资金使用严格按照主管部门要求，不造假，不偷税漏税。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（五）自觉接受主管部门和相关职能部门的指导、检查及监管，严格按照相关部门指导意见举办比赛。</w:t>
      </w:r>
      <w:r>
        <w:rPr>
          <w:rFonts w:hint="default" w:ascii="仿宋_GB2312" w:hAnsi="仿宋_GB2312" w:eastAsia="仿宋_GB2312" w:cs="仿宋_GB2312"/>
          <w:b w:val="0"/>
          <w:bCs w:val="0"/>
          <w:color w:val="auto"/>
          <w:sz w:val="32"/>
          <w:szCs w:val="32"/>
          <w:lang w:val="en-US" w:eastAsia="zh-CN"/>
        </w:rPr>
        <w:t>自觉接受社会公众、</w:t>
      </w:r>
      <w:r>
        <w:rPr>
          <w:rFonts w:hint="eastAsia" w:ascii="仿宋_GB2312" w:hAnsi="仿宋_GB2312" w:eastAsia="仿宋_GB2312" w:cs="仿宋_GB2312"/>
          <w:b w:val="0"/>
          <w:bCs w:val="0"/>
          <w:color w:val="auto"/>
          <w:sz w:val="32"/>
          <w:szCs w:val="32"/>
          <w:lang w:val="en-US" w:eastAsia="zh-CN"/>
        </w:rPr>
        <w:t>新闻舆论</w:t>
      </w:r>
      <w:r>
        <w:rPr>
          <w:rFonts w:hint="default" w:ascii="仿宋_GB2312" w:hAnsi="仿宋_GB2312" w:eastAsia="仿宋_GB2312" w:cs="仿宋_GB2312"/>
          <w:b w:val="0"/>
          <w:bCs w:val="0"/>
          <w:color w:val="auto"/>
          <w:sz w:val="32"/>
          <w:szCs w:val="32"/>
          <w:lang w:val="en-US" w:eastAsia="zh-CN"/>
        </w:rPr>
        <w:t>的监督。 </w:t>
      </w:r>
    </w:p>
    <w:p>
      <w:pPr>
        <w:rPr>
          <w:rFonts w:hint="default" w:ascii="仿宋_GB2312" w:hAnsi="仿宋_GB2312" w:eastAsia="仿宋_GB2312" w:cs="仿宋_GB2312"/>
          <w:b w:val="0"/>
          <w:bCs w:val="0"/>
          <w:color w:val="auto"/>
          <w:sz w:val="32"/>
          <w:szCs w:val="32"/>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宋体" w:hAnsi="宋体"/>
          <w:b/>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承诺单位：（盖章）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活动主要负责人：     </w:t>
      </w:r>
      <w:r>
        <w:rPr>
          <w:rFonts w:hint="eastAsia" w:ascii="仿宋_GB2312" w:hAnsi="仿宋_GB2312" w:eastAsia="仿宋_GB2312" w:cs="仿宋_GB2312"/>
          <w:b w:val="0"/>
          <w:bCs w:val="0"/>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right="0" w:rightChars="0" w:firstLine="2880" w:firstLineChars="9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时间：</w:t>
      </w:r>
    </w:p>
    <w:p/>
    <w:sectPr>
      <w:footerReference r:id="rId4" w:type="default"/>
      <w:pgSz w:w="11906" w:h="16838"/>
      <w:pgMar w:top="1440" w:right="1474"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swiss"/>
    <w:pitch w:val="default"/>
    <w:sig w:usb0="800002BF" w:usb1="38CF7CFA" w:usb2="00000016" w:usb3="00000000" w:csb0="00040001" w:csb1="00000000"/>
  </w:font>
  <w:font w:name="Wingdings 2">
    <w:panose1 w:val="05020102010507070707"/>
    <w:charset w:val="02"/>
    <w:family w:val="modern"/>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u89kbAgAAIw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5u89kbAgAAIwQAAA4A&#10;AAAAAAAAAQAgAAAAHwEAAGRycy9lMm9Eb2MueG1sUEsFBgAAAAAGAAYAWQEAAKw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D40B2"/>
    <w:rsid w:val="3770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pPr>
      <w:widowControl w:val="0"/>
      <w:jc w:val="both"/>
      <w:textAlignment w:val="baseline"/>
    </w:pPr>
    <w:rPr>
      <w:rFonts w:ascii="Times New Roman" w:hAnsi="Times New Roman" w:eastAsia="仿宋_GB2312" w:cs="Times New Roman"/>
      <w:kern w:val="2"/>
      <w:sz w:val="32"/>
      <w:lang w:val="en-US" w:eastAsia="zh-CN" w:bidi="ar-SA"/>
    </w:rPr>
  </w:style>
  <w:style w:type="paragraph" w:styleId="3">
    <w:name w:val="footer"/>
    <w:basedOn w:val="1"/>
    <w:unhideWhenUsed/>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2021-07-21T09:25:00Z</dcterms:created>
  <dc:creator>DELL</dc:creator>
  <cp:lastModifiedBy>王冠林</cp:lastModifiedBy>
  <dcterms:modified xsi:type="dcterms:W3CDTF">2021-07-21T09:42:45Z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