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3-2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政府及所属机构联合市场主体举办的大型活动扶持评分标准</w:t>
      </w:r>
    </w:p>
    <w:tbl>
      <w:tblPr>
        <w:tblStyle w:val="3"/>
        <w:tblW w:w="150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97"/>
        <w:gridCol w:w="1218"/>
        <w:gridCol w:w="1209"/>
        <w:gridCol w:w="1990"/>
        <w:gridCol w:w="1218"/>
        <w:gridCol w:w="7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一级权重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二级权重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三级权重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评分量化标准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百分制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活动价值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社会价值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城市形象提升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有利于全方位拓展三亚旅游客源市场，提升城市知名度、美誉度。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经济价值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产业潜力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50%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重点、创新产业，能给跨界赋能旅游产业，改善产业结构，激发产业增长潜力。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市场活力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50%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符合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市场多元化需求，扩大旅游消费，促进三亚旅游经济发展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孵化培育消费新供给、消费环境改善、旅游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消费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产品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开发创新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活动规模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预估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参与规模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40%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直接参与人数，包括参邀嘉宾、选手、工作人员等。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80%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0-100]分：500人以上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9]分：400-499人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9]分：300-399人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9]分：200-299人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[00-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9]分：100-199人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*活动直接参与人数：指直接报名参与本次活动人数，含活动参邀嘉宾、报名选手、工作人员，不含现场观众。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直接参与人的结构：境外直接参与人数占比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20%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[90-100]分：50%以上（含）；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0-89]分：30%（含）至50%（不含）；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9]分：10%（含）至30%（不含）；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[00-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9]分：10%以下（不含）；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*受不可抗力因素影响可不评分，此项所占比重纳入直接参与人数所占比重。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客流规模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吸引客流量（观众人数）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0-100]分：5001人以上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9]分：3001-5000人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9]分：1001-3000人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9]分：501-1000人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[00-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9]分：300-500人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吸引境外客流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占比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[90-100]分：境外客流20%以上（含）；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0-89]分：境外客流15%以上（含）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9]分：境外客流10%以上（含）；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[00-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]分：境外客流5%以下（不含）；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*占比受不可抗力因素影响此项可不评分，所占比重纳入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客流规模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人数所占比重。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4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活动影响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="210" w:leftChars="0" w:right="0" w:rightChars="0" w:hanging="210" w:hangingChars="10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评价</w:t>
            </w:r>
          </w:p>
        </w:tc>
        <w:tc>
          <w:tcPr>
            <w:tcW w:w="119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品牌流量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3.1.1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IP知名度、活动品牌知名度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100%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0-100]分：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引入国际知名IP、邀请国际知名嘉宾的活动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引入国内知名IP、邀请国内知名嘉宾的活动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区域性知名活动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省市级知名活动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3.2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本土特色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3.2.1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体现三亚旅游资源、人文历史、风土人情等本地元素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100%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0-100]分：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充分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体现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三亚旅游资源、人文历史、风土人情等本地元素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[60-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较好体现三亚旅游资源、人文历史、风土人情等本地元素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bidi="ar"/>
              </w:rPr>
              <w:t>0-59]分：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一定程度体现三亚旅游资源、人文历史、风土人情等本地元素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114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活动宣传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媒体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宣传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媒体邀请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[90-100]分：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拟邀请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15家，地方媒体不少于30家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0-89]分：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拟邀请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12家，地方媒体不少于25家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拟邀请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8家，地方媒体不少于20家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拟邀请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4家，地方媒体不少于15家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*媒体分类：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、央媒包括：中央媒体（18家）：人民日报社、新华社、中央广播电视总台、求是杂志社、解放军报社、光明日报社、经济日报社、中国日报社、科技日报社、人民政协报社、中国纪检监察报社、学习时报社、工人日报社、中国青年报社、中国妇女报社、农民日报社、法制日报社、中国新闻社，及其官方新媒体平台。中央重点新闻网站（16家）：人民网、新华网、中国网、国际在线、中国日报网、央视网、中国青年网、中国经济网、中国台湾网、中国西藏网、央广网、光明网、中国军网、中国新闻网、人民政协网、法制网，及其官方新媒体平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地方媒体包括：全国各省（自治区、直辖市）、市级新闻媒体。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*以上媒体单位为2020年统计口径。可根据中央媒体单位改革进行调整。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*需根据中央、地方媒体进行分类统计，提供媒体新闻链接、截图统计表。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国内媒体发稿量：央媒发稿量、地方媒体发稿量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发稿总量评分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[90-100]分：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承诺发稿2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00条以上，且央媒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0-89]分：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承诺发稿15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0条以上，且央媒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承诺发稿1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00条以上，且央媒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承诺发稿50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条以上，且央媒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不少于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4.1.3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境外媒体发稿量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发稿总量评分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[90-100]分：50条以上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[70-89]分：20-49条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[50-69]分：10-19条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[00-49]分：00-10条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*境外媒体：中国港澳台地区媒体、外国媒体。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新媒体宣传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国内及境外新媒体传播价值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100%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0-100]分：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单条原创内容（文字、图片、视频）：微信阅读达80万+，微博阅读达700万+或微博话题阅读2000万+（不含历史话题），抖音点赞达100万+，今日头条阅读达600万＋，其他主流新媒体单条内容阅读/播放量达700万+。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单条原创内容（文字、图片、视频）：微信阅读达50万+，微博阅读达500万+或微博话题阅读1500万+（不含历史话题），抖音点赞达80万+，今日头条阅读达400万＋，其他主流新媒体单条内容阅读/播放量达500万+。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单条原创内容（文字、图片、视频）：微信阅读达30万+，微博阅读达300万+或微博话题阅读1000万+（不含历史话题），抖音点赞达60万+，今日头条阅读达200万＋，其他主流新媒体单条内容阅读/播放量达300万+。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单条原创内容（文字、图片、视频）：微信阅读达10万+，微博阅读达100万+或微博话题阅读500万+（不含历史话题），抖音点赞达30万+，今日头条阅读达100万＋，其他主流新媒体单条内容阅读/播放量达100万+。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[00-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9]分：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单条原创内容（文字、图片、视频）：微信阅读达5万+，微博阅读达50万+或微博话题阅读300万+（不含历史话题），抖音点赞达15万+，今日头条阅读达50万＋，其他主流新媒体单条内容阅读/播放量达50万+。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  <w:t>*新媒体传播推广平台包含微信、微博、短视频平台、Instagram、Facebook、Twitter等主流新媒体。*需满足至少一个新媒体平台的传播指标量，同平台不累计。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5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评分结果应用：满分100分，由市旅游推广局按评分标准进行打分。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90分（含）—100分（含），可给予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活动总支出的30%扶持经费。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ab/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80分（含）—89分（含），可给予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活动总支出的25%扶持经费。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ab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70分（含）—79分（含），可给予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不超过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活动总支出的20%扶持经费。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ab/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60" w:firstLineChars="700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不及格：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9分以下（含），不纳入扶持范围，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初评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单位可与申报单位协商是否按奖励类活动申报。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71B86"/>
    <w:rsid w:val="5B8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2021-07-21T09:31:00Z</dcterms:created>
  <dc:creator>DELL</dc:creator>
  <cp:lastModifiedBy>王冠林</cp:lastModifiedBy>
  <dcterms:modified xsi:type="dcterms:W3CDTF">2021-07-21T10:01:59Z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